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sz w:val="36"/>
          <w:szCs w:val="36"/>
        </w:rPr>
      </w:pPr>
      <w:r>
        <w:rPr>
          <w:sz w:val="57"/>
        </w:rPr>
        <w:pict>
          <v:group id="组合 9" o:spid="_x0000_s1026" o:spt="203" style="position:absolute;left:0pt;margin-left:-89.5pt;margin-top:-72.45pt;height:841.35pt;width:595.3pt;z-index:-251658240;mso-width-relative:page;mso-height-relative:page;" coordorigin="0,11" coordsize="11906,16827">
            <o:lock v:ext="edit"/>
            <v:shape id="Picture 11" o:spid="_x0000_s1027" o:spt="75" type="#_x0000_t75" style="position:absolute;left:0;top:844;height:15994;width:11906;"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">
              <v:path/>
              <v:fill on="f" focussize="0,0"/>
              <v:stroke on="f" joinstyle="miter"/>
              <v:imagedata r:id="rId4" o:title=""/>
              <o:lock v:ext="edit" aspectratio="t"/>
            </v:shape>
            <v:shape id="Picture 12" o:spid="_x0000_s1028" o:spt="75" type="#_x0000_t75" style="position:absolute;left:0;top:16;height:16822;width:11906;"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">
              <v:path/>
              <v:fill on="f" focussize="0,0"/>
              <v:stroke on="f" joinstyle="miter"/>
              <v:imagedata r:id="rId5" o:title=""/>
              <o:lock v:ext="edit" aspectratio="t"/>
            </v:shape>
            <v:shape id="AutoShape 13" o:spid="_x0000_s1029" o:spt="100" style="position:absolute;left:0;top:17;height:16807;width:11906;" filled="f" stroked="t" coordsize="11906,1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" adj="," path="m0,0l11906,0m0,16807l11906,16807e">
              <v:path arrowok="t" o:connecttype="custom" o:connectlocs="0,17;11906,17;0,16824;11906,16824" o:connectangles="0,0,0,0"/>
              <v:fill on="f" focussize="0,0"/>
              <v:stroke weight="0.6pt" color="#FFFFFF" joinstyle="round"/>
              <v:imagedata o:title=""/>
              <o:lock v:ext="edit"/>
            </v:shape>
          </v:group>
        </w:pict>
      </w:r>
    </w:p>
    <w:p>
      <w:pPr>
        <w:pStyle w:val="2"/>
        <w:spacing w:line="360" w:lineRule="auto"/>
        <w:rPr>
          <w:rFonts w:ascii="黑体" w:hAnsi="黑体" w:eastAsia="黑体"/>
          <w:b/>
          <w:bCs/>
          <w:sz w:val="52"/>
          <w:szCs w:val="52"/>
        </w:rPr>
      </w:pPr>
    </w:p>
    <w:p>
      <w:pPr>
        <w:pStyle w:val="2"/>
        <w:rPr>
          <w:rFonts w:hint="eastAsia"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《电子商务专业》</w:t>
      </w:r>
    </w:p>
    <w:p>
      <w:pPr>
        <w:pStyle w:val="2"/>
        <w:rPr>
          <w:rFonts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人</w:t>
      </w:r>
    </w:p>
    <w:p>
      <w:pPr>
        <w:pStyle w:val="2"/>
        <w:rPr>
          <w:rFonts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才</w:t>
      </w:r>
    </w:p>
    <w:p>
      <w:pPr>
        <w:pStyle w:val="2"/>
        <w:rPr>
          <w:rFonts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培</w:t>
      </w:r>
    </w:p>
    <w:p>
      <w:pPr>
        <w:pStyle w:val="2"/>
        <w:rPr>
          <w:rFonts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养</w:t>
      </w:r>
    </w:p>
    <w:p>
      <w:pPr>
        <w:pStyle w:val="2"/>
        <w:rPr>
          <w:rFonts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方</w:t>
      </w:r>
    </w:p>
    <w:p>
      <w:pPr>
        <w:pStyle w:val="2"/>
        <w:rPr>
          <w:rFonts w:hint="eastAsia" w:ascii="华康俪金黑W8(P)" w:hAnsi="华康俪金黑W8(P)" w:eastAsia="华康俪金黑W8(P)" w:cs="华康俪金黑W8(P)"/>
          <w:sz w:val="72"/>
          <w:szCs w:val="72"/>
        </w:rPr>
      </w:pPr>
      <w:r>
        <w:rPr>
          <w:rFonts w:hint="eastAsia" w:ascii="华康俪金黑W8(P)" w:hAnsi="华康俪金黑W8(P)" w:eastAsia="华康俪金黑W8(P)" w:cs="华康俪金黑W8(P)"/>
          <w:sz w:val="72"/>
          <w:szCs w:val="72"/>
        </w:rPr>
        <w:t>案</w:t>
      </w:r>
    </w:p>
    <w:p>
      <w:pPr>
        <w:pStyle w:val="2"/>
        <w:rPr>
          <w:rFonts w:hint="eastAsia" w:ascii="华康俪金黑W8(P)" w:hAnsi="华康俪金黑W8(P)" w:eastAsia="华康俪金黑W8(P)" w:cs="华康俪金黑W8(P)"/>
          <w:sz w:val="72"/>
          <w:szCs w:val="72"/>
          <w:lang w:eastAsia="zh-CN"/>
        </w:rPr>
      </w:pPr>
      <w:r>
        <w:rPr>
          <w:rFonts w:hint="eastAsia" w:ascii="华康俪金黑W8(P)" w:hAnsi="华康俪金黑W8(P)" w:eastAsia="华康俪金黑W8(P)" w:cs="华康俪金黑W8(P)"/>
          <w:sz w:val="72"/>
          <w:szCs w:val="72"/>
          <w:lang w:eastAsia="zh-CN"/>
        </w:rPr>
        <w:t>（中职）</w:t>
      </w:r>
    </w:p>
    <w:p>
      <w:pPr>
        <w:jc w:val="center"/>
        <w:rPr>
          <w:rFonts w:ascii="黑体" w:hAnsi="黑体" w:eastAsia="黑体"/>
          <w:b/>
          <w:sz w:val="36"/>
          <w:szCs w:val="36"/>
        </w:rPr>
      </w:pPr>
    </w:p>
    <w:p>
      <w:pPr>
        <w:jc w:val="center"/>
        <w:rPr>
          <w:rFonts w:ascii="黑体" w:hAnsi="黑体" w:eastAsia="黑体"/>
          <w:kern w:val="0"/>
          <w:sz w:val="32"/>
          <w:szCs w:val="32"/>
        </w:rPr>
      </w:pPr>
    </w:p>
    <w:p>
      <w:pPr>
        <w:rPr>
          <w:rFonts w:ascii="黑体" w:hAnsi="黑体" w:eastAsia="黑体"/>
          <w:b/>
          <w:sz w:val="36"/>
          <w:szCs w:val="36"/>
        </w:rPr>
      </w:pPr>
    </w:p>
    <w:p>
      <w:pPr>
        <w:rPr>
          <w:rFonts w:ascii="黑体" w:hAnsi="黑体" w:eastAsia="黑体"/>
          <w:b/>
          <w:sz w:val="36"/>
          <w:szCs w:val="36"/>
        </w:rPr>
      </w:pPr>
    </w:p>
    <w:p>
      <w:pPr>
        <w:rPr>
          <w:rFonts w:ascii="宋体" w:hAnsi="宋体"/>
          <w:b/>
          <w:sz w:val="28"/>
          <w:szCs w:val="28"/>
        </w:rPr>
      </w:pPr>
      <w:r>
        <w:rPr>
          <w:rFonts w:hint="eastAsia" w:ascii="宋体" w:hAnsi="宋体"/>
          <w:b/>
          <w:sz w:val="28"/>
          <w:szCs w:val="28"/>
        </w:rPr>
        <w:t>一．【专业名称】</w:t>
      </w:r>
    </w:p>
    <w:p>
      <w:pPr>
        <w:ind w:firstLine="560" w:firstLineChars="200"/>
        <w:rPr>
          <w:rFonts w:ascii="宋体" w:hAnsi="宋体"/>
          <w:sz w:val="28"/>
          <w:szCs w:val="28"/>
        </w:rPr>
      </w:pPr>
      <w:r>
        <w:rPr>
          <w:rFonts w:hint="eastAsia" w:ascii="宋体" w:hAnsi="宋体"/>
          <w:sz w:val="28"/>
          <w:szCs w:val="28"/>
        </w:rPr>
        <w:t>电子商务(专业代码：121100 )</w:t>
      </w:r>
    </w:p>
    <w:p>
      <w:pPr>
        <w:rPr>
          <w:rFonts w:ascii="宋体" w:hAnsi="宋体"/>
          <w:b/>
          <w:sz w:val="28"/>
          <w:szCs w:val="28"/>
        </w:rPr>
      </w:pPr>
      <w:r>
        <w:rPr>
          <w:rFonts w:hint="eastAsia" w:ascii="宋体" w:hAnsi="宋体"/>
          <w:b/>
          <w:sz w:val="28"/>
          <w:szCs w:val="28"/>
        </w:rPr>
        <w:t>二．【入学要求】</w:t>
      </w:r>
    </w:p>
    <w:p>
      <w:pPr>
        <w:ind w:firstLine="560" w:firstLineChars="200"/>
        <w:rPr>
          <w:rFonts w:ascii="宋体" w:hAnsi="宋体"/>
          <w:sz w:val="28"/>
          <w:szCs w:val="28"/>
        </w:rPr>
      </w:pPr>
      <w:r>
        <w:rPr>
          <w:rFonts w:hint="eastAsia" w:ascii="宋体" w:hAnsi="宋体" w:cs="宋体"/>
          <w:bCs/>
          <w:color w:val="000000"/>
          <w:kern w:val="0"/>
          <w:sz w:val="28"/>
          <w:szCs w:val="28"/>
        </w:rPr>
        <w:t>初中毕业生或具有同等及以上学力者</w:t>
      </w:r>
    </w:p>
    <w:p>
      <w:pPr>
        <w:rPr>
          <w:rFonts w:ascii="宋体" w:hAnsi="宋体"/>
          <w:b/>
          <w:sz w:val="28"/>
          <w:szCs w:val="28"/>
        </w:rPr>
      </w:pPr>
      <w:r>
        <w:rPr>
          <w:rFonts w:hint="eastAsia" w:ascii="宋体" w:hAnsi="宋体"/>
          <w:b/>
          <w:sz w:val="28"/>
          <w:szCs w:val="28"/>
        </w:rPr>
        <w:t>三．【学习年限】</w:t>
      </w:r>
    </w:p>
    <w:p>
      <w:pPr>
        <w:ind w:firstLine="560" w:firstLineChars="200"/>
        <w:rPr>
          <w:rFonts w:ascii="宋体" w:hAnsi="宋体"/>
          <w:sz w:val="28"/>
          <w:szCs w:val="28"/>
        </w:rPr>
      </w:pPr>
      <w:r>
        <w:rPr>
          <w:rFonts w:hint="eastAsia" w:ascii="宋体" w:hAnsi="宋体"/>
          <w:sz w:val="28"/>
          <w:szCs w:val="28"/>
        </w:rPr>
        <w:t>基本学制3年 ：（2+1）</w:t>
      </w:r>
    </w:p>
    <w:p>
      <w:pPr>
        <w:widowControl/>
        <w:spacing w:before="100" w:beforeAutospacing="1" w:after="100" w:afterAutospacing="1" w:line="360" w:lineRule="auto"/>
        <w:jc w:val="left"/>
        <w:rPr>
          <w:rFonts w:ascii="宋体" w:hAnsi="宋体"/>
          <w:b/>
          <w:sz w:val="28"/>
          <w:szCs w:val="28"/>
        </w:rPr>
      </w:pPr>
      <w:r>
        <w:rPr>
          <w:rFonts w:hint="eastAsia" w:ascii="宋体" w:hAnsi="宋体"/>
          <w:b/>
          <w:sz w:val="28"/>
          <w:szCs w:val="28"/>
        </w:rPr>
        <w:t>四．【培养目标】</w:t>
      </w:r>
    </w:p>
    <w:p>
      <w:pPr>
        <w:widowControl/>
        <w:spacing w:before="100" w:beforeAutospacing="1" w:after="100" w:afterAutospacing="1" w:line="360" w:lineRule="auto"/>
        <w:ind w:firstLine="560" w:firstLineChars="200"/>
        <w:jc w:val="left"/>
        <w:rPr>
          <w:rFonts w:ascii="仿宋_GB2312" w:hAnsi="宋体" w:eastAsia="仿宋_GB2312" w:cs="宋体"/>
          <w:bCs/>
          <w:color w:val="000000"/>
          <w:kern w:val="0"/>
          <w:sz w:val="24"/>
        </w:rPr>
      </w:pPr>
      <w:r>
        <w:rPr>
          <w:rFonts w:hint="eastAsia" w:ascii="宋体" w:hAnsi="宋体"/>
          <w:sz w:val="28"/>
          <w:szCs w:val="28"/>
        </w:rPr>
        <w:t>本专业面向商业行业企业，培养通过电子商务平台从事网络营销、网店编辑、客户服务等工作，德智体美全面发展的高素质劳动者和技能型人才。</w:t>
      </w:r>
    </w:p>
    <w:p>
      <w:pPr>
        <w:rPr>
          <w:rFonts w:ascii="宋体" w:hAnsi="宋体"/>
          <w:b/>
          <w:sz w:val="28"/>
          <w:szCs w:val="28"/>
        </w:rPr>
      </w:pPr>
      <w:r>
        <w:rPr>
          <w:rFonts w:hint="eastAsia" w:ascii="宋体" w:hAnsi="宋体"/>
          <w:b/>
          <w:sz w:val="28"/>
          <w:szCs w:val="28"/>
        </w:rPr>
        <w:t>五．【职业范围】</w:t>
      </w:r>
    </w:p>
    <w:p>
      <w:pPr>
        <w:spacing w:line="360" w:lineRule="auto"/>
        <w:ind w:firstLine="560" w:firstLineChars="200"/>
        <w:rPr>
          <w:rFonts w:ascii="宋体" w:hAnsi="宋体"/>
          <w:sz w:val="28"/>
          <w:szCs w:val="28"/>
        </w:rPr>
      </w:pPr>
      <w:r>
        <w:rPr>
          <w:rFonts w:hint="eastAsia" w:ascii="宋体" w:hAnsi="宋体"/>
          <w:sz w:val="28"/>
          <w:szCs w:val="28"/>
        </w:rPr>
        <w:t>本专业学生的职业范围具体从事的就业岗位如下：</w:t>
      </w:r>
    </w:p>
    <w:tbl>
      <w:tblPr>
        <w:tblStyle w:val="5"/>
        <w:tblpPr w:leftFromText="180" w:rightFromText="180" w:vertAnchor="page" w:horzAnchor="margin" w:tblpY="113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6"/>
        <w:gridCol w:w="2790"/>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2256" w:type="dxa"/>
            <w:tcBorders>
              <w:top w:val="single" w:color="auto" w:sz="4" w:space="0"/>
              <w:left w:val="single" w:color="auto" w:sz="4" w:space="0"/>
              <w:bottom w:val="single" w:color="auto" w:sz="4" w:space="0"/>
              <w:right w:val="single" w:color="auto" w:sz="4" w:space="0"/>
            </w:tcBorders>
          </w:tcPr>
          <w:p>
            <w:pPr>
              <w:rPr>
                <w:rFonts w:ascii="宋体" w:hAnsi="宋体"/>
                <w:b/>
                <w:sz w:val="28"/>
                <w:szCs w:val="28"/>
              </w:rPr>
            </w:pPr>
            <w:r>
              <w:rPr>
                <w:rFonts w:hint="eastAsia" w:ascii="宋体" w:hAnsi="宋体"/>
                <w:b/>
                <w:sz w:val="28"/>
                <w:szCs w:val="28"/>
              </w:rPr>
              <w:t>就业岗位</w:t>
            </w:r>
          </w:p>
        </w:tc>
        <w:tc>
          <w:tcPr>
            <w:tcW w:w="2790" w:type="dxa"/>
            <w:tcBorders>
              <w:top w:val="single" w:color="auto" w:sz="4" w:space="0"/>
              <w:left w:val="single" w:color="auto" w:sz="4" w:space="0"/>
              <w:bottom w:val="single" w:color="auto" w:sz="4" w:space="0"/>
              <w:right w:val="single" w:color="auto" w:sz="4" w:space="0"/>
            </w:tcBorders>
          </w:tcPr>
          <w:p>
            <w:pPr>
              <w:rPr>
                <w:rFonts w:ascii="宋体" w:hAnsi="宋体"/>
                <w:b/>
                <w:sz w:val="28"/>
                <w:szCs w:val="28"/>
              </w:rPr>
            </w:pPr>
            <w:r>
              <w:rPr>
                <w:rFonts w:hint="eastAsia" w:ascii="宋体" w:hAnsi="宋体"/>
                <w:b/>
                <w:sz w:val="28"/>
                <w:szCs w:val="28"/>
              </w:rPr>
              <w:t>职业资格证书</w:t>
            </w:r>
          </w:p>
        </w:tc>
        <w:tc>
          <w:tcPr>
            <w:tcW w:w="2905" w:type="dxa"/>
            <w:tcBorders>
              <w:top w:val="single" w:color="auto" w:sz="4" w:space="0"/>
              <w:left w:val="single" w:color="auto" w:sz="4" w:space="0"/>
              <w:bottom w:val="single" w:color="auto" w:sz="4" w:space="0"/>
              <w:right w:val="single" w:color="auto" w:sz="4" w:space="0"/>
            </w:tcBorders>
          </w:tcPr>
          <w:p>
            <w:pPr>
              <w:rPr>
                <w:rFonts w:ascii="宋体" w:hAnsi="宋体"/>
                <w:b/>
                <w:sz w:val="28"/>
                <w:szCs w:val="28"/>
              </w:rPr>
            </w:pPr>
            <w:r>
              <w:rPr>
                <w:rFonts w:hint="eastAsia" w:ascii="宋体" w:hAnsi="宋体"/>
                <w:b/>
                <w:sz w:val="28"/>
                <w:szCs w:val="28"/>
              </w:rPr>
              <w:t>专业（技能）方向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256"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网店编辑</w:t>
            </w:r>
          </w:p>
          <w:p>
            <w:pPr>
              <w:rPr>
                <w:rFonts w:ascii="宋体" w:hAnsi="宋体"/>
                <w:sz w:val="24"/>
                <w:szCs w:val="28"/>
              </w:rPr>
            </w:pPr>
          </w:p>
        </w:tc>
        <w:tc>
          <w:tcPr>
            <w:tcW w:w="2790"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网络编辑员、计算机网络管理员、计算机操作员、计算机等级证书</w:t>
            </w:r>
          </w:p>
        </w:tc>
        <w:tc>
          <w:tcPr>
            <w:tcW w:w="2905"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网店编辑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256"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客户服务</w:t>
            </w:r>
          </w:p>
        </w:tc>
        <w:tc>
          <w:tcPr>
            <w:tcW w:w="2790"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普通话水平测试等级证书</w:t>
            </w:r>
          </w:p>
        </w:tc>
        <w:tc>
          <w:tcPr>
            <w:tcW w:w="290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szCs w:val="28"/>
              </w:rPr>
            </w:pPr>
            <w:r>
              <w:rPr>
                <w:rFonts w:hint="eastAsia" w:ascii="宋体" w:hAnsi="宋体"/>
                <w:sz w:val="24"/>
                <w:szCs w:val="28"/>
              </w:rPr>
              <w:t>客户服务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256"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网络销售、网络推广</w:t>
            </w:r>
          </w:p>
        </w:tc>
        <w:tc>
          <w:tcPr>
            <w:tcW w:w="2790" w:type="dxa"/>
            <w:tcBorders>
              <w:top w:val="single" w:color="auto" w:sz="4" w:space="0"/>
              <w:left w:val="single" w:color="auto" w:sz="4" w:space="0"/>
              <w:bottom w:val="single" w:color="auto" w:sz="4" w:space="0"/>
              <w:right w:val="single" w:color="auto" w:sz="4" w:space="0"/>
            </w:tcBorders>
          </w:tcPr>
          <w:p>
            <w:pPr>
              <w:rPr>
                <w:rFonts w:ascii="宋体" w:hAnsi="宋体"/>
                <w:sz w:val="24"/>
                <w:szCs w:val="28"/>
              </w:rPr>
            </w:pPr>
            <w:r>
              <w:rPr>
                <w:rFonts w:hint="eastAsia" w:ascii="宋体" w:hAnsi="宋体"/>
                <w:sz w:val="24"/>
                <w:szCs w:val="28"/>
              </w:rPr>
              <w:t>电子商务师（初级）</w:t>
            </w:r>
          </w:p>
        </w:tc>
        <w:tc>
          <w:tcPr>
            <w:tcW w:w="2905"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szCs w:val="28"/>
              </w:rPr>
            </w:pPr>
            <w:r>
              <w:rPr>
                <w:rFonts w:hint="eastAsia" w:ascii="宋体" w:hAnsi="宋体"/>
                <w:sz w:val="24"/>
                <w:szCs w:val="28"/>
              </w:rPr>
              <w:t>网络营销</w:t>
            </w:r>
          </w:p>
        </w:tc>
      </w:tr>
    </w:tbl>
    <w:p>
      <w:pPr>
        <w:spacing w:line="360" w:lineRule="auto"/>
        <w:rPr>
          <w:rFonts w:ascii="宋体" w:hAnsi="宋体"/>
          <w:b/>
          <w:sz w:val="28"/>
          <w:szCs w:val="28"/>
        </w:rPr>
      </w:pPr>
    </w:p>
    <w:p>
      <w:pPr>
        <w:spacing w:line="360" w:lineRule="auto"/>
        <w:rPr>
          <w:rFonts w:ascii="宋体" w:hAnsi="宋体"/>
          <w:b/>
          <w:sz w:val="28"/>
          <w:szCs w:val="28"/>
        </w:rPr>
      </w:pPr>
      <w:r>
        <w:rPr>
          <w:rFonts w:hint="eastAsia" w:ascii="宋体" w:hAnsi="宋体"/>
          <w:b/>
          <w:sz w:val="28"/>
          <w:szCs w:val="28"/>
        </w:rPr>
        <w:t>六．【人才规格】</w:t>
      </w:r>
    </w:p>
    <w:p>
      <w:pPr>
        <w:widowControl/>
        <w:spacing w:before="100" w:beforeAutospacing="1" w:after="100" w:afterAutospacing="1" w:line="360" w:lineRule="auto"/>
        <w:ind w:firstLine="540" w:firstLineChars="192"/>
        <w:jc w:val="left"/>
        <w:rPr>
          <w:rFonts w:ascii="宋体" w:hAnsi="宋体"/>
          <w:b/>
          <w:sz w:val="28"/>
          <w:szCs w:val="28"/>
        </w:rPr>
      </w:pPr>
      <w:r>
        <w:rPr>
          <w:rFonts w:hint="eastAsia" w:ascii="宋体" w:hAnsi="宋体"/>
          <w:b/>
          <w:sz w:val="28"/>
          <w:szCs w:val="28"/>
        </w:rPr>
        <w:t>（一）基本素质</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具有良好的职业道德，能自觉遵守行业法规，规范和企业规章制度。</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具备网络交易安全意识，能防范个人信息泄露，辨别网络欺诈，采用正规渠道实施网络买卖与支付。</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具有执行能力、应变能力、团队协作与承压能力。</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具有良好的语言表达和沟通能力。</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具有较强的逻辑思维能力并能独立处理问题。</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具有一定的创新能力。</w:t>
      </w:r>
    </w:p>
    <w:p>
      <w:pPr>
        <w:widowControl/>
        <w:spacing w:before="100" w:beforeAutospacing="1" w:after="100" w:afterAutospacing="1" w:line="360" w:lineRule="auto"/>
        <w:ind w:left="461"/>
        <w:jc w:val="left"/>
        <w:rPr>
          <w:rFonts w:ascii="宋体" w:hAnsi="宋体" w:cs="宋体"/>
          <w:b/>
          <w:bCs/>
          <w:color w:val="000000"/>
          <w:kern w:val="0"/>
          <w:sz w:val="28"/>
          <w:szCs w:val="28"/>
        </w:rPr>
      </w:pPr>
      <w:r>
        <w:rPr>
          <w:rFonts w:hint="eastAsia" w:ascii="宋体" w:hAnsi="宋体" w:cs="宋体"/>
          <w:b/>
          <w:bCs/>
          <w:color w:val="000000"/>
          <w:kern w:val="0"/>
          <w:sz w:val="28"/>
          <w:szCs w:val="28"/>
        </w:rPr>
        <w:t>（二）专业知识和技能</w:t>
      </w:r>
    </w:p>
    <w:p>
      <w:pPr>
        <w:widowControl/>
        <w:numPr>
          <w:ilvl w:val="0"/>
          <w:numId w:val="1"/>
        </w:numPr>
        <w:spacing w:before="100" w:beforeAutospacing="1" w:after="100" w:afterAutospacing="1" w:line="360" w:lineRule="auto"/>
        <w:jc w:val="left"/>
        <w:rPr>
          <w:rFonts w:ascii="宋体" w:hAnsi="宋体" w:cs="宋体"/>
          <w:bCs/>
          <w:color w:val="000000"/>
          <w:kern w:val="0"/>
          <w:sz w:val="28"/>
          <w:szCs w:val="28"/>
        </w:rPr>
      </w:pPr>
      <w:r>
        <w:rPr>
          <w:rFonts w:hint="eastAsia" w:ascii="宋体" w:hAnsi="宋体" w:cs="宋体"/>
          <w:bCs/>
          <w:color w:val="000000"/>
          <w:kern w:val="0"/>
          <w:sz w:val="28"/>
          <w:szCs w:val="28"/>
        </w:rPr>
        <w:t>了解基本的商务礼仪常识。</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了解营销基础知识。</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掌握电子商务物流配送相关知识，能完成商品打包、订单处理、配送等环节的重要工作，符合企业规范。</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熟练运用计算机技术，能使用计算机常用工具软件（包括网络工具软件）处理日常工作文档，满足工作需要。</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掌握电子商务网站相关知识，能根据需求，设计网站风格、网页布局、网站色调等，并使用设计类工具软件呈现设计效果图。</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具有较强的商务交流、人际沟通和合作协调能力。</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掌握电子商务日常工作中客户服务相关专业知识，能按照服务规范与流程，服务客户，提出顾客接受的解决方案。</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具有较强的逻辑能力并能独立处理问题。</w:t>
      </w:r>
    </w:p>
    <w:p>
      <w:pPr>
        <w:widowControl/>
        <w:numPr>
          <w:ilvl w:val="0"/>
          <w:numId w:val="1"/>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具有一定的创新能力。</w:t>
      </w:r>
    </w:p>
    <w:p>
      <w:pPr>
        <w:spacing w:line="360" w:lineRule="auto"/>
        <w:ind w:firstLine="281" w:firstLineChars="100"/>
        <w:rPr>
          <w:rFonts w:asciiTheme="majorEastAsia" w:hAnsiTheme="majorEastAsia" w:eastAsiaTheme="majorEastAsia"/>
          <w:b/>
          <w:sz w:val="28"/>
          <w:szCs w:val="28"/>
        </w:rPr>
      </w:pPr>
      <w:r>
        <w:rPr>
          <w:rFonts w:hint="eastAsia" w:asciiTheme="majorEastAsia" w:hAnsiTheme="majorEastAsia" w:eastAsiaTheme="majorEastAsia"/>
          <w:b/>
          <w:sz w:val="28"/>
          <w:szCs w:val="28"/>
        </w:rPr>
        <w:t>（三）专业技能和知识</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掌握网络营销相关知识，能根据需求，操作站内和站外推广媒介，达到网络营销的目的。</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能理解客户需求，正确录入信息，汉子录入速度达到80字/分钟。</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能规范化语言服务客户，与顾客沟通顺畅。</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能根据企业需求，撰写不同类型的软文，符合行业规范。</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能根据企业需求，策划促销活动主题，撰写促销活动方案，制定促销活动实施计划。</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能使用设计类工具软件，按照网站设计效果图建设网站，符合行业规范。</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能使用第三方平台的后台功能，美化网店页面。</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能根据促销方案，使用工具软件，设计制作促销广告，清晰表达促销方案重点信息。</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能通过修改html语言代码，完成页面编辑。</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能根据促销方案，使用工具软件，设计制作促销广告，清晰表达促销方案重点信息。</w:t>
      </w:r>
    </w:p>
    <w:p>
      <w:pPr>
        <w:widowControl/>
        <w:numPr>
          <w:ilvl w:val="0"/>
          <w:numId w:val="2"/>
        </w:numPr>
        <w:spacing w:before="100" w:beforeAutospacing="1" w:after="100" w:afterAutospacing="1" w:line="360" w:lineRule="auto"/>
        <w:jc w:val="left"/>
        <w:rPr>
          <w:rFonts w:ascii="宋体" w:hAnsi="宋体" w:cs="宋体"/>
          <w:kern w:val="0"/>
          <w:sz w:val="28"/>
          <w:szCs w:val="28"/>
        </w:rPr>
      </w:pPr>
      <w:r>
        <w:rPr>
          <w:rFonts w:hint="eastAsia" w:ascii="宋体" w:hAnsi="宋体" w:cs="宋体"/>
          <w:kern w:val="0"/>
          <w:sz w:val="28"/>
          <w:szCs w:val="28"/>
        </w:rPr>
        <w:t>能使用第三方平台的后台功能，美化网店页面。</w:t>
      </w:r>
    </w:p>
    <w:p>
      <w:pPr>
        <w:spacing w:line="360" w:lineRule="auto"/>
        <w:ind w:firstLine="281" w:firstLineChars="100"/>
        <w:rPr>
          <w:rFonts w:ascii="宋体" w:hAnsi="宋体"/>
          <w:b/>
          <w:sz w:val="28"/>
          <w:szCs w:val="28"/>
        </w:rPr>
      </w:pPr>
      <w:r>
        <w:rPr>
          <w:rFonts w:hint="eastAsia" w:ascii="宋体" w:hAnsi="宋体"/>
          <w:b/>
          <w:sz w:val="28"/>
          <w:szCs w:val="28"/>
        </w:rPr>
        <w:t>（四）职业资格证书要求</w:t>
      </w:r>
    </w:p>
    <w:p>
      <w:pPr>
        <w:spacing w:line="480" w:lineRule="auto"/>
        <w:ind w:firstLine="410" w:firstLineChars="146"/>
        <w:rPr>
          <w:rFonts w:ascii="宋体" w:hAnsi="宋体"/>
          <w:b/>
          <w:sz w:val="28"/>
          <w:szCs w:val="28"/>
        </w:rPr>
      </w:pPr>
      <w:r>
        <w:rPr>
          <w:rFonts w:hint="eastAsia" w:ascii="宋体" w:hAnsi="宋体"/>
          <w:b/>
          <w:sz w:val="28"/>
          <w:szCs w:val="28"/>
        </w:rPr>
        <w:t xml:space="preserve"> 公共基础课应取得以下资格证书：</w:t>
      </w:r>
    </w:p>
    <w:p>
      <w:pPr>
        <w:numPr>
          <w:ilvl w:val="0"/>
          <w:numId w:val="3"/>
        </w:numPr>
        <w:spacing w:line="360" w:lineRule="auto"/>
        <w:rPr>
          <w:rFonts w:ascii="宋体" w:hAnsi="宋体"/>
          <w:sz w:val="28"/>
          <w:szCs w:val="28"/>
        </w:rPr>
      </w:pPr>
      <w:r>
        <w:rPr>
          <w:rFonts w:hint="eastAsia" w:ascii="宋体" w:hAnsi="宋体"/>
          <w:sz w:val="28"/>
          <w:szCs w:val="28"/>
        </w:rPr>
        <w:t>全国计算机等级证书、普通话证书。</w:t>
      </w:r>
    </w:p>
    <w:p>
      <w:pPr>
        <w:spacing w:line="480" w:lineRule="auto"/>
        <w:ind w:firstLine="562" w:firstLineChars="200"/>
        <w:rPr>
          <w:rFonts w:ascii="宋体" w:hAnsi="宋体"/>
          <w:b/>
          <w:sz w:val="28"/>
          <w:szCs w:val="28"/>
        </w:rPr>
      </w:pPr>
      <w:r>
        <w:rPr>
          <w:rFonts w:hint="eastAsia" w:ascii="宋体" w:hAnsi="宋体"/>
          <w:b/>
          <w:sz w:val="28"/>
          <w:szCs w:val="28"/>
        </w:rPr>
        <w:t>专业课应取得以下证书：</w:t>
      </w:r>
    </w:p>
    <w:p>
      <w:pPr>
        <w:numPr>
          <w:ilvl w:val="0"/>
          <w:numId w:val="4"/>
        </w:numPr>
        <w:spacing w:line="360" w:lineRule="auto"/>
        <w:rPr>
          <w:rFonts w:ascii="宋体" w:hAnsi="宋体"/>
          <w:sz w:val="28"/>
          <w:szCs w:val="28"/>
        </w:rPr>
      </w:pPr>
      <w:r>
        <w:rPr>
          <w:rFonts w:hint="eastAsia" w:ascii="宋体" w:hAnsi="宋体"/>
          <w:sz w:val="28"/>
          <w:szCs w:val="28"/>
        </w:rPr>
        <w:t>取得中国物资采购联合会组织的仓管员资格证书、人社局组织的电子商务员等资格证书；</w:t>
      </w:r>
    </w:p>
    <w:p>
      <w:pPr>
        <w:numPr>
          <w:ilvl w:val="0"/>
          <w:numId w:val="4"/>
        </w:numPr>
        <w:spacing w:line="360" w:lineRule="auto"/>
        <w:rPr>
          <w:rFonts w:ascii="宋体" w:hAnsi="宋体"/>
          <w:sz w:val="28"/>
          <w:szCs w:val="28"/>
        </w:rPr>
      </w:pPr>
      <w:r>
        <w:rPr>
          <w:rFonts w:hint="eastAsia" w:ascii="宋体" w:hAnsi="宋体"/>
          <w:sz w:val="28"/>
          <w:szCs w:val="28"/>
        </w:rPr>
        <w:t>本专业的学生通过考试（考查）合格，发给毕业证</w:t>
      </w:r>
    </w:p>
    <w:p>
      <w:pPr>
        <w:spacing w:line="360" w:lineRule="auto"/>
        <w:rPr>
          <w:rFonts w:ascii="宋体" w:hAnsi="宋体"/>
          <w:b/>
          <w:sz w:val="28"/>
          <w:szCs w:val="28"/>
        </w:rPr>
      </w:pPr>
      <w:r>
        <w:rPr>
          <w:rFonts w:hint="eastAsia" w:ascii="宋体" w:hAnsi="宋体"/>
          <w:b/>
          <w:sz w:val="28"/>
          <w:szCs w:val="28"/>
        </w:rPr>
        <w:t>七、主要接续专业</w:t>
      </w:r>
    </w:p>
    <w:p>
      <w:pPr>
        <w:spacing w:line="360" w:lineRule="auto"/>
        <w:ind w:firstLine="140" w:firstLineChars="50"/>
        <w:rPr>
          <w:rFonts w:ascii="宋体" w:hAnsi="宋体"/>
          <w:sz w:val="28"/>
          <w:szCs w:val="28"/>
        </w:rPr>
      </w:pPr>
      <w:r>
        <w:rPr>
          <w:rFonts w:hint="eastAsia" w:ascii="宋体" w:hAnsi="宋体"/>
          <w:sz w:val="28"/>
          <w:szCs w:val="28"/>
        </w:rPr>
        <w:t>高职：电子商务、工商管理</w:t>
      </w:r>
    </w:p>
    <w:p>
      <w:pPr>
        <w:spacing w:line="360" w:lineRule="auto"/>
        <w:rPr>
          <w:rFonts w:ascii="宋体" w:hAnsi="宋体"/>
          <w:sz w:val="28"/>
          <w:szCs w:val="28"/>
        </w:rPr>
      </w:pPr>
      <w:r>
        <w:rPr>
          <w:rFonts w:hint="eastAsia" w:ascii="宋体" w:hAnsi="宋体"/>
          <w:sz w:val="28"/>
          <w:szCs w:val="28"/>
        </w:rPr>
        <w:t xml:space="preserve"> 本科：电子商务、工商管理</w:t>
      </w:r>
    </w:p>
    <w:p>
      <w:pPr>
        <w:rPr>
          <w:rFonts w:ascii="宋体" w:hAnsi="宋体"/>
          <w:b/>
          <w:sz w:val="28"/>
          <w:szCs w:val="28"/>
        </w:rPr>
      </w:pPr>
      <w:r>
        <w:rPr>
          <w:rFonts w:hint="eastAsia" w:ascii="宋体" w:hAnsi="宋体"/>
          <w:b/>
          <w:sz w:val="28"/>
          <w:szCs w:val="28"/>
        </w:rPr>
        <w:t>八、各类课程的学时数及比例</w:t>
      </w:r>
    </w:p>
    <w:p>
      <w:pPr>
        <w:rPr>
          <w:rFonts w:ascii="宋体" w:hAnsi="宋体"/>
          <w:b/>
          <w:sz w:val="28"/>
          <w:szCs w:val="28"/>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056"/>
        <w:gridCol w:w="3996"/>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课程类别</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学时数</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占教学活动总学时的比例（%）</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公共基础课</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576</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18%</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专业核心课</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666</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21%</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专业技能课</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774</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24%</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顶岗实习</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1200</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37%</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73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合计</w:t>
            </w:r>
          </w:p>
        </w:tc>
        <w:tc>
          <w:tcPr>
            <w:tcW w:w="105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3216</w:t>
            </w:r>
          </w:p>
        </w:tc>
        <w:tc>
          <w:tcPr>
            <w:tcW w:w="39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100%</w:t>
            </w:r>
          </w:p>
        </w:tc>
        <w:tc>
          <w:tcPr>
            <w:tcW w:w="129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p>
        </w:tc>
      </w:tr>
    </w:tbl>
    <w:p>
      <w:pPr>
        <w:rPr>
          <w:rFonts w:ascii="宋体" w:hAnsi="宋体"/>
          <w:b/>
          <w:sz w:val="28"/>
          <w:szCs w:val="28"/>
        </w:rPr>
      </w:pPr>
      <w:r>
        <w:rPr>
          <w:rFonts w:hint="eastAsia" w:ascii="宋体" w:hAnsi="宋体"/>
          <w:b/>
          <w:sz w:val="28"/>
          <w:szCs w:val="28"/>
        </w:rPr>
        <w:t>九、本课程设置及要求</w:t>
      </w:r>
    </w:p>
    <w:p>
      <w:pPr>
        <w:rPr>
          <w:rFonts w:ascii="宋体" w:hAnsi="宋体"/>
          <w:sz w:val="28"/>
          <w:szCs w:val="28"/>
        </w:rPr>
      </w:pPr>
      <w:r>
        <w:rPr>
          <w:rFonts w:hint="eastAsia" w:ascii="宋体" w:hAnsi="宋体"/>
          <w:sz w:val="28"/>
          <w:szCs w:val="28"/>
        </w:rPr>
        <w:t>专业课程设置分为公共基础课和专业技能课</w:t>
      </w:r>
    </w:p>
    <w:p>
      <w:pPr>
        <w:rPr>
          <w:rFonts w:ascii="宋体" w:hAnsi="宋体"/>
          <w:sz w:val="28"/>
          <w:szCs w:val="28"/>
        </w:rPr>
      </w:pPr>
      <w:r>
        <w:rPr>
          <w:rFonts w:hint="eastAsia" w:ascii="宋体" w:hAnsi="宋体"/>
          <w:sz w:val="28"/>
          <w:szCs w:val="28"/>
        </w:rPr>
        <w:t>公共基础课包括德育课、文化课、体育与健康。专业技能课包括专业核心课、专业技能课和专业选修课，实习实训课是专业技能教学的重要内容，含校内实训、校外跟岗实习、顶岗实习等多种形式。</w:t>
      </w:r>
    </w:p>
    <w:p>
      <w:pPr>
        <w:numPr>
          <w:ilvl w:val="0"/>
          <w:numId w:val="5"/>
        </w:numPr>
        <w:ind w:left="279" w:leftChars="133" w:firstLine="281" w:firstLineChars="100"/>
        <w:rPr>
          <w:rFonts w:ascii="宋体" w:hAnsi="宋体"/>
          <w:b/>
          <w:sz w:val="28"/>
          <w:szCs w:val="28"/>
        </w:rPr>
      </w:pPr>
      <w:r>
        <w:rPr>
          <w:rFonts w:hint="eastAsia" w:ascii="宋体" w:hAnsi="宋体"/>
          <w:b/>
          <w:sz w:val="28"/>
          <w:szCs w:val="28"/>
        </w:rPr>
        <w:t>公共基础课</w:t>
      </w:r>
    </w:p>
    <w:tbl>
      <w:tblPr>
        <w:tblStyle w:val="6"/>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431"/>
        <w:gridCol w:w="6119"/>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b/>
                <w:sz w:val="28"/>
                <w:szCs w:val="28"/>
              </w:rPr>
            </w:pPr>
            <w:r>
              <w:rPr>
                <w:rFonts w:hint="eastAsia" w:ascii="宋体" w:hAnsi="宋体"/>
                <w:b/>
                <w:sz w:val="28"/>
                <w:szCs w:val="28"/>
              </w:rPr>
              <w:t>序号</w:t>
            </w:r>
          </w:p>
        </w:tc>
        <w:tc>
          <w:tcPr>
            <w:tcW w:w="1431" w:type="dxa"/>
            <w:vAlign w:val="center"/>
          </w:tcPr>
          <w:p>
            <w:pPr>
              <w:jc w:val="center"/>
              <w:rPr>
                <w:rFonts w:ascii="宋体" w:hAnsi="宋体"/>
                <w:b/>
                <w:sz w:val="28"/>
                <w:szCs w:val="28"/>
              </w:rPr>
            </w:pPr>
            <w:r>
              <w:rPr>
                <w:rFonts w:hint="eastAsia" w:ascii="宋体" w:hAnsi="宋体"/>
                <w:b/>
                <w:sz w:val="28"/>
                <w:szCs w:val="28"/>
              </w:rPr>
              <w:t>课程名称</w:t>
            </w:r>
          </w:p>
        </w:tc>
        <w:tc>
          <w:tcPr>
            <w:tcW w:w="6119" w:type="dxa"/>
            <w:vAlign w:val="center"/>
          </w:tcPr>
          <w:p>
            <w:pPr>
              <w:jc w:val="center"/>
              <w:rPr>
                <w:rFonts w:ascii="宋体" w:hAnsi="宋体"/>
                <w:b/>
                <w:sz w:val="28"/>
                <w:szCs w:val="28"/>
              </w:rPr>
            </w:pPr>
            <w:r>
              <w:rPr>
                <w:rFonts w:hint="eastAsia" w:ascii="宋体" w:hAnsi="宋体"/>
                <w:b/>
                <w:sz w:val="28"/>
                <w:szCs w:val="28"/>
              </w:rPr>
              <w:t>主要教学内容和要求</w:t>
            </w:r>
          </w:p>
        </w:tc>
        <w:tc>
          <w:tcPr>
            <w:tcW w:w="820" w:type="dxa"/>
            <w:vAlign w:val="center"/>
          </w:tcPr>
          <w:p>
            <w:pPr>
              <w:jc w:val="center"/>
              <w:rPr>
                <w:rFonts w:ascii="宋体" w:hAnsi="宋体"/>
                <w:b/>
                <w:sz w:val="28"/>
                <w:szCs w:val="28"/>
              </w:rPr>
            </w:pPr>
            <w:r>
              <w:rPr>
                <w:rFonts w:hint="eastAsia" w:ascii="宋体" w:hAnsi="宋体"/>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1</w:t>
            </w:r>
          </w:p>
        </w:tc>
        <w:tc>
          <w:tcPr>
            <w:tcW w:w="1431" w:type="dxa"/>
          </w:tcPr>
          <w:p>
            <w:pPr>
              <w:rPr>
                <w:rFonts w:ascii="宋体" w:hAnsi="宋体"/>
                <w:sz w:val="28"/>
                <w:szCs w:val="28"/>
              </w:rPr>
            </w:pPr>
            <w:r>
              <w:rPr>
                <w:rFonts w:hint="eastAsia" w:ascii="宋体" w:hAnsi="宋体"/>
                <w:sz w:val="28"/>
                <w:szCs w:val="28"/>
              </w:rPr>
              <w:t>职业生涯规划</w:t>
            </w:r>
          </w:p>
        </w:tc>
        <w:tc>
          <w:tcPr>
            <w:tcW w:w="6119" w:type="dxa"/>
          </w:tcPr>
          <w:p>
            <w:pPr>
              <w:rPr>
                <w:rFonts w:ascii="宋体" w:hAnsi="宋体"/>
                <w:sz w:val="28"/>
                <w:szCs w:val="28"/>
              </w:rPr>
            </w:pPr>
            <w:r>
              <w:rPr>
                <w:rFonts w:hint="eastAsia" w:ascii="宋体" w:hAnsi="宋体"/>
                <w:sz w:val="28"/>
                <w:szCs w:val="28"/>
              </w:rPr>
              <w:t>依据《中等职业学校职业生涯规划教学大纲》开设，并与专业实际和行业发展密切结合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2</w:t>
            </w:r>
          </w:p>
        </w:tc>
        <w:tc>
          <w:tcPr>
            <w:tcW w:w="1431" w:type="dxa"/>
          </w:tcPr>
          <w:p>
            <w:pPr>
              <w:rPr>
                <w:rFonts w:ascii="宋体" w:hAnsi="宋体"/>
                <w:sz w:val="28"/>
                <w:szCs w:val="28"/>
              </w:rPr>
            </w:pPr>
            <w:r>
              <w:rPr>
                <w:rFonts w:hint="eastAsia" w:ascii="宋体" w:hAnsi="宋体"/>
                <w:sz w:val="28"/>
                <w:szCs w:val="28"/>
              </w:rPr>
              <w:t>职业道德与法律</w:t>
            </w:r>
          </w:p>
        </w:tc>
        <w:tc>
          <w:tcPr>
            <w:tcW w:w="6119" w:type="dxa"/>
          </w:tcPr>
          <w:p>
            <w:pPr>
              <w:rPr>
                <w:rFonts w:ascii="宋体" w:hAnsi="宋体"/>
                <w:sz w:val="28"/>
                <w:szCs w:val="28"/>
              </w:rPr>
            </w:pPr>
            <w:r>
              <w:rPr>
                <w:rFonts w:hint="eastAsia" w:ascii="宋体" w:hAnsi="宋体"/>
                <w:sz w:val="28"/>
                <w:szCs w:val="28"/>
              </w:rPr>
              <w:t>依据《中等职业学校职业道德与法律教学大纲》开设，并与专业实际和行业发展密切结合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3</w:t>
            </w:r>
          </w:p>
        </w:tc>
        <w:tc>
          <w:tcPr>
            <w:tcW w:w="1431" w:type="dxa"/>
          </w:tcPr>
          <w:p>
            <w:pPr>
              <w:rPr>
                <w:rFonts w:ascii="宋体" w:hAnsi="宋体"/>
                <w:sz w:val="28"/>
                <w:szCs w:val="28"/>
              </w:rPr>
            </w:pPr>
            <w:r>
              <w:rPr>
                <w:rFonts w:hint="eastAsia" w:ascii="宋体" w:hAnsi="宋体"/>
                <w:sz w:val="28"/>
                <w:szCs w:val="28"/>
              </w:rPr>
              <w:t>经济政治与社会</w:t>
            </w:r>
          </w:p>
        </w:tc>
        <w:tc>
          <w:tcPr>
            <w:tcW w:w="6119" w:type="dxa"/>
          </w:tcPr>
          <w:p>
            <w:pPr>
              <w:rPr>
                <w:rFonts w:ascii="宋体" w:hAnsi="宋体"/>
                <w:sz w:val="28"/>
                <w:szCs w:val="28"/>
              </w:rPr>
            </w:pPr>
            <w:r>
              <w:rPr>
                <w:rFonts w:hint="eastAsia" w:ascii="宋体" w:hAnsi="宋体"/>
                <w:sz w:val="28"/>
                <w:szCs w:val="28"/>
              </w:rPr>
              <w:t>依据《中等职业学校经济政治与社会教学大纲》开设，并与专业实际和行业发展密切结合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4</w:t>
            </w:r>
          </w:p>
        </w:tc>
        <w:tc>
          <w:tcPr>
            <w:tcW w:w="1431" w:type="dxa"/>
          </w:tcPr>
          <w:p>
            <w:pPr>
              <w:rPr>
                <w:rFonts w:ascii="宋体" w:hAnsi="宋体"/>
                <w:sz w:val="28"/>
                <w:szCs w:val="28"/>
              </w:rPr>
            </w:pPr>
            <w:r>
              <w:rPr>
                <w:rFonts w:hint="eastAsia" w:ascii="宋体" w:hAnsi="宋体"/>
                <w:sz w:val="28"/>
                <w:szCs w:val="28"/>
              </w:rPr>
              <w:t>哲学与人生</w:t>
            </w:r>
          </w:p>
        </w:tc>
        <w:tc>
          <w:tcPr>
            <w:tcW w:w="6119" w:type="dxa"/>
          </w:tcPr>
          <w:p>
            <w:pPr>
              <w:rPr>
                <w:rFonts w:ascii="宋体" w:hAnsi="宋体"/>
                <w:sz w:val="28"/>
                <w:szCs w:val="28"/>
              </w:rPr>
            </w:pPr>
            <w:r>
              <w:rPr>
                <w:rFonts w:hint="eastAsia" w:ascii="宋体" w:hAnsi="宋体"/>
                <w:sz w:val="28"/>
                <w:szCs w:val="28"/>
              </w:rPr>
              <w:t>依据《中等职业学校哲学与人生教学大纲》开设，并与专业实际和行业发展密切结合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5</w:t>
            </w:r>
          </w:p>
        </w:tc>
        <w:tc>
          <w:tcPr>
            <w:tcW w:w="1431" w:type="dxa"/>
          </w:tcPr>
          <w:p>
            <w:pPr>
              <w:rPr>
                <w:rFonts w:ascii="宋体" w:hAnsi="宋体"/>
                <w:sz w:val="28"/>
                <w:szCs w:val="28"/>
              </w:rPr>
            </w:pPr>
            <w:r>
              <w:rPr>
                <w:rFonts w:hint="eastAsia" w:ascii="宋体" w:hAnsi="宋体"/>
                <w:sz w:val="28"/>
                <w:szCs w:val="28"/>
              </w:rPr>
              <w:t>语文</w:t>
            </w:r>
          </w:p>
        </w:tc>
        <w:tc>
          <w:tcPr>
            <w:tcW w:w="6119" w:type="dxa"/>
          </w:tcPr>
          <w:p>
            <w:pPr>
              <w:rPr>
                <w:rFonts w:ascii="宋体" w:hAnsi="宋体"/>
                <w:sz w:val="28"/>
                <w:szCs w:val="28"/>
              </w:rPr>
            </w:pPr>
            <w:r>
              <w:rPr>
                <w:rFonts w:hint="eastAsia" w:ascii="宋体" w:hAnsi="宋体"/>
                <w:sz w:val="28"/>
                <w:szCs w:val="28"/>
              </w:rPr>
              <w:t>依据《中等职业学校语文教学大纲》开设，并与专业实际和行业发展密切结合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6</w:t>
            </w:r>
          </w:p>
        </w:tc>
        <w:tc>
          <w:tcPr>
            <w:tcW w:w="1431" w:type="dxa"/>
          </w:tcPr>
          <w:p>
            <w:pPr>
              <w:rPr>
                <w:rFonts w:ascii="宋体" w:hAnsi="宋体"/>
                <w:sz w:val="28"/>
                <w:szCs w:val="28"/>
              </w:rPr>
            </w:pPr>
            <w:r>
              <w:rPr>
                <w:rFonts w:hint="eastAsia" w:ascii="宋体" w:hAnsi="宋体"/>
                <w:sz w:val="28"/>
                <w:szCs w:val="28"/>
              </w:rPr>
              <w:t>数学</w:t>
            </w:r>
          </w:p>
        </w:tc>
        <w:tc>
          <w:tcPr>
            <w:tcW w:w="6119" w:type="dxa"/>
          </w:tcPr>
          <w:p>
            <w:pPr>
              <w:rPr>
                <w:rFonts w:ascii="宋体" w:hAnsi="宋体"/>
                <w:sz w:val="28"/>
                <w:szCs w:val="28"/>
              </w:rPr>
            </w:pPr>
            <w:r>
              <w:rPr>
                <w:rFonts w:hint="eastAsia" w:ascii="宋体" w:hAnsi="宋体"/>
                <w:sz w:val="28"/>
                <w:szCs w:val="28"/>
              </w:rPr>
              <w:t>依据《中等职业学校数学教学大纲》开设，并与专业实际和行业发展密切结合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7</w:t>
            </w:r>
          </w:p>
        </w:tc>
        <w:tc>
          <w:tcPr>
            <w:tcW w:w="1431" w:type="dxa"/>
          </w:tcPr>
          <w:p>
            <w:pPr>
              <w:rPr>
                <w:rFonts w:ascii="宋体" w:hAnsi="宋体"/>
                <w:sz w:val="28"/>
                <w:szCs w:val="28"/>
              </w:rPr>
            </w:pPr>
            <w:r>
              <w:rPr>
                <w:rFonts w:hint="eastAsia" w:ascii="宋体" w:hAnsi="宋体"/>
                <w:sz w:val="28"/>
                <w:szCs w:val="28"/>
              </w:rPr>
              <w:t>英语</w:t>
            </w:r>
          </w:p>
        </w:tc>
        <w:tc>
          <w:tcPr>
            <w:tcW w:w="6119" w:type="dxa"/>
          </w:tcPr>
          <w:p>
            <w:pPr>
              <w:rPr>
                <w:rFonts w:ascii="宋体" w:hAnsi="宋体"/>
                <w:sz w:val="28"/>
                <w:szCs w:val="28"/>
              </w:rPr>
            </w:pPr>
            <w:r>
              <w:rPr>
                <w:rFonts w:hint="eastAsia" w:ascii="宋体" w:hAnsi="宋体"/>
                <w:sz w:val="28"/>
                <w:szCs w:val="28"/>
              </w:rPr>
              <w:t>依据《中等职业学校英语教学大纲》开设，并与专业实际和行业发展密切结合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8</w:t>
            </w:r>
          </w:p>
        </w:tc>
        <w:tc>
          <w:tcPr>
            <w:tcW w:w="1431" w:type="dxa"/>
          </w:tcPr>
          <w:p>
            <w:pPr>
              <w:rPr>
                <w:rFonts w:ascii="宋体" w:hAnsi="宋体"/>
                <w:sz w:val="28"/>
                <w:szCs w:val="28"/>
              </w:rPr>
            </w:pPr>
            <w:r>
              <w:rPr>
                <w:rFonts w:hint="eastAsia" w:ascii="宋体" w:hAnsi="宋体"/>
                <w:sz w:val="28"/>
                <w:szCs w:val="28"/>
              </w:rPr>
              <w:t>计算机应用基础</w:t>
            </w:r>
          </w:p>
        </w:tc>
        <w:tc>
          <w:tcPr>
            <w:tcW w:w="6119" w:type="dxa"/>
          </w:tcPr>
          <w:p>
            <w:pPr>
              <w:rPr>
                <w:rFonts w:ascii="宋体" w:hAnsi="宋体"/>
                <w:sz w:val="28"/>
                <w:szCs w:val="28"/>
              </w:rPr>
            </w:pPr>
            <w:r>
              <w:rPr>
                <w:rFonts w:hint="eastAsia" w:ascii="宋体" w:hAnsi="宋体"/>
                <w:sz w:val="28"/>
                <w:szCs w:val="28"/>
              </w:rPr>
              <w:t>依据《中等职业学校计算机应用基础教学大纲》开设，并与专业实际和行业发展密切结合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 w:type="dxa"/>
            <w:vAlign w:val="center"/>
          </w:tcPr>
          <w:p>
            <w:pPr>
              <w:jc w:val="center"/>
              <w:rPr>
                <w:rFonts w:ascii="宋体" w:hAnsi="宋体"/>
                <w:sz w:val="28"/>
                <w:szCs w:val="28"/>
              </w:rPr>
            </w:pPr>
            <w:r>
              <w:rPr>
                <w:rFonts w:hint="eastAsia" w:ascii="宋体" w:hAnsi="宋体"/>
                <w:sz w:val="28"/>
                <w:szCs w:val="28"/>
              </w:rPr>
              <w:t>9</w:t>
            </w:r>
          </w:p>
        </w:tc>
        <w:tc>
          <w:tcPr>
            <w:tcW w:w="1431" w:type="dxa"/>
          </w:tcPr>
          <w:p>
            <w:pPr>
              <w:rPr>
                <w:rFonts w:ascii="宋体" w:hAnsi="宋体"/>
                <w:sz w:val="28"/>
                <w:szCs w:val="28"/>
              </w:rPr>
            </w:pPr>
            <w:r>
              <w:rPr>
                <w:rFonts w:hint="eastAsia" w:ascii="宋体" w:hAnsi="宋体"/>
                <w:sz w:val="28"/>
                <w:szCs w:val="28"/>
              </w:rPr>
              <w:t>体育与健康</w:t>
            </w:r>
          </w:p>
        </w:tc>
        <w:tc>
          <w:tcPr>
            <w:tcW w:w="6119" w:type="dxa"/>
          </w:tcPr>
          <w:p>
            <w:pPr>
              <w:rPr>
                <w:rFonts w:ascii="宋体" w:hAnsi="宋体"/>
                <w:sz w:val="28"/>
                <w:szCs w:val="28"/>
              </w:rPr>
            </w:pPr>
            <w:r>
              <w:rPr>
                <w:rFonts w:hint="eastAsia" w:ascii="宋体" w:hAnsi="宋体"/>
                <w:sz w:val="28"/>
                <w:szCs w:val="28"/>
              </w:rPr>
              <w:t>依据《中等职业学校体育与健康教学大纲》开设，并与专业实际和行业发展密切结合</w:t>
            </w:r>
          </w:p>
        </w:tc>
        <w:tc>
          <w:tcPr>
            <w:tcW w:w="820" w:type="dxa"/>
            <w:vAlign w:val="center"/>
          </w:tcPr>
          <w:p>
            <w:pPr>
              <w:jc w:val="center"/>
              <w:rPr>
                <w:rFonts w:ascii="宋体" w:hAnsi="宋体"/>
                <w:sz w:val="28"/>
                <w:szCs w:val="28"/>
              </w:rPr>
            </w:pPr>
            <w:r>
              <w:rPr>
                <w:rFonts w:hint="eastAsia" w:ascii="宋体" w:hAnsi="宋体"/>
                <w:sz w:val="28"/>
                <w:szCs w:val="28"/>
              </w:rPr>
              <w:t>144</w:t>
            </w:r>
          </w:p>
        </w:tc>
      </w:tr>
    </w:tbl>
    <w:p>
      <w:pPr>
        <w:rPr>
          <w:rFonts w:ascii="宋体" w:hAnsi="宋体"/>
          <w:sz w:val="28"/>
          <w:szCs w:val="28"/>
        </w:rPr>
      </w:pPr>
    </w:p>
    <w:p>
      <w:pPr>
        <w:rPr>
          <w:rFonts w:hint="eastAsia" w:ascii="宋体" w:hAnsi="宋体"/>
          <w:b/>
          <w:sz w:val="28"/>
          <w:szCs w:val="28"/>
        </w:rPr>
      </w:pPr>
      <w:r>
        <w:rPr>
          <w:rFonts w:hint="eastAsia" w:ascii="宋体" w:hAnsi="宋体"/>
          <w:b/>
          <w:sz w:val="28"/>
          <w:szCs w:val="28"/>
        </w:rPr>
        <w:t>（二）专业技能课</w:t>
      </w:r>
    </w:p>
    <w:p>
      <w:pPr>
        <w:rPr>
          <w:rFonts w:ascii="宋体" w:hAnsi="宋体"/>
          <w:b/>
          <w:sz w:val="28"/>
          <w:szCs w:val="28"/>
        </w:rPr>
      </w:pPr>
      <w:r>
        <w:rPr>
          <w:rFonts w:hint="eastAsia" w:ascii="宋体" w:hAnsi="宋体"/>
          <w:b/>
          <w:sz w:val="28"/>
          <w:szCs w:val="28"/>
        </w:rPr>
        <w:t>1、专业核心课</w:t>
      </w:r>
    </w:p>
    <w:tbl>
      <w:tblPr>
        <w:tblStyle w:val="6"/>
        <w:tblW w:w="96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624"/>
        <w:gridCol w:w="5911"/>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b/>
                <w:sz w:val="28"/>
                <w:szCs w:val="28"/>
              </w:rPr>
            </w:pPr>
            <w:r>
              <w:rPr>
                <w:rFonts w:hint="eastAsia" w:ascii="宋体" w:hAnsi="宋体"/>
                <w:b/>
                <w:sz w:val="28"/>
                <w:szCs w:val="28"/>
              </w:rPr>
              <w:t>序号</w:t>
            </w:r>
          </w:p>
        </w:tc>
        <w:tc>
          <w:tcPr>
            <w:tcW w:w="1624" w:type="dxa"/>
            <w:vAlign w:val="center"/>
          </w:tcPr>
          <w:p>
            <w:pPr>
              <w:jc w:val="center"/>
              <w:rPr>
                <w:rFonts w:ascii="宋体" w:hAnsi="宋体"/>
                <w:b/>
                <w:sz w:val="28"/>
                <w:szCs w:val="28"/>
              </w:rPr>
            </w:pPr>
            <w:r>
              <w:rPr>
                <w:rFonts w:hint="eastAsia" w:ascii="宋体" w:hAnsi="宋体"/>
                <w:b/>
                <w:sz w:val="28"/>
                <w:szCs w:val="28"/>
              </w:rPr>
              <w:t>课程名称</w:t>
            </w:r>
          </w:p>
        </w:tc>
        <w:tc>
          <w:tcPr>
            <w:tcW w:w="5911" w:type="dxa"/>
            <w:vAlign w:val="center"/>
          </w:tcPr>
          <w:p>
            <w:pPr>
              <w:jc w:val="center"/>
              <w:rPr>
                <w:rFonts w:ascii="宋体" w:hAnsi="宋体"/>
                <w:b/>
                <w:sz w:val="28"/>
                <w:szCs w:val="28"/>
              </w:rPr>
            </w:pPr>
            <w:r>
              <w:rPr>
                <w:rFonts w:hint="eastAsia" w:ascii="宋体" w:hAnsi="宋体"/>
                <w:b/>
                <w:sz w:val="28"/>
                <w:szCs w:val="28"/>
              </w:rPr>
              <w:t>主要教学内容和要求</w:t>
            </w:r>
          </w:p>
        </w:tc>
        <w:tc>
          <w:tcPr>
            <w:tcW w:w="1028" w:type="dxa"/>
          </w:tcPr>
          <w:p>
            <w:pPr>
              <w:rPr>
                <w:rFonts w:ascii="宋体" w:hAnsi="宋体"/>
                <w:b/>
                <w:sz w:val="28"/>
                <w:szCs w:val="28"/>
              </w:rPr>
            </w:pPr>
            <w:r>
              <w:rPr>
                <w:rFonts w:hint="eastAsia" w:ascii="宋体" w:hAnsi="宋体"/>
                <w:b/>
                <w:sz w:val="28"/>
                <w:szCs w:val="28"/>
              </w:rPr>
              <w:t>参 考</w:t>
            </w:r>
          </w:p>
          <w:p>
            <w:pPr>
              <w:rPr>
                <w:rFonts w:ascii="宋体" w:hAnsi="宋体"/>
                <w:b/>
                <w:sz w:val="28"/>
                <w:szCs w:val="28"/>
              </w:rPr>
            </w:pPr>
            <w:r>
              <w:rPr>
                <w:rFonts w:hint="eastAsia" w:ascii="宋体" w:hAnsi="宋体"/>
                <w:b/>
                <w:sz w:val="28"/>
                <w:szCs w:val="28"/>
              </w:rPr>
              <w:t>学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1</w:t>
            </w:r>
          </w:p>
        </w:tc>
        <w:tc>
          <w:tcPr>
            <w:tcW w:w="1624" w:type="dxa"/>
            <w:vAlign w:val="center"/>
          </w:tcPr>
          <w:p>
            <w:pPr>
              <w:jc w:val="center"/>
              <w:rPr>
                <w:rFonts w:ascii="宋体" w:hAnsi="宋体"/>
                <w:sz w:val="28"/>
                <w:szCs w:val="28"/>
              </w:rPr>
            </w:pPr>
            <w:r>
              <w:rPr>
                <w:rFonts w:hint="eastAsia" w:ascii="宋体" w:hAnsi="宋体"/>
                <w:sz w:val="28"/>
                <w:szCs w:val="28"/>
              </w:rPr>
              <w:t>网站内容编辑（软文写作）</w:t>
            </w:r>
          </w:p>
        </w:tc>
        <w:tc>
          <w:tcPr>
            <w:tcW w:w="5911" w:type="dxa"/>
            <w:vAlign w:val="center"/>
          </w:tcPr>
          <w:p>
            <w:pPr>
              <w:jc w:val="left"/>
              <w:rPr>
                <w:rFonts w:ascii="宋体" w:hAnsi="宋体"/>
                <w:sz w:val="28"/>
                <w:szCs w:val="28"/>
              </w:rPr>
            </w:pPr>
            <w:r>
              <w:rPr>
                <w:rFonts w:hint="eastAsia" w:ascii="宋体" w:hAnsi="宋体"/>
                <w:sz w:val="28"/>
                <w:szCs w:val="28"/>
              </w:rPr>
              <w:t>了解网站内容编辑岗位职业道德，能根据产品特征编辑产品推广信息与宣传软文；能根据企业网站需求撰写宣传稿件和企业宣传软文、开展网络专题策划及互动活动。</w:t>
            </w:r>
          </w:p>
        </w:tc>
        <w:tc>
          <w:tcPr>
            <w:tcW w:w="1028" w:type="dxa"/>
            <w:vAlign w:val="center"/>
          </w:tcPr>
          <w:p>
            <w:pPr>
              <w:jc w:val="center"/>
              <w:rPr>
                <w:rFonts w:ascii="宋体" w:hAnsi="宋体"/>
                <w:sz w:val="28"/>
                <w:szCs w:val="28"/>
              </w:rPr>
            </w:pPr>
            <w:r>
              <w:rPr>
                <w:rFonts w:hint="eastAsia" w:ascii="宋体" w:hAnsi="宋体"/>
                <w:sz w:val="28"/>
                <w:szCs w:val="28"/>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2</w:t>
            </w:r>
          </w:p>
        </w:tc>
        <w:tc>
          <w:tcPr>
            <w:tcW w:w="1624" w:type="dxa"/>
            <w:vAlign w:val="center"/>
          </w:tcPr>
          <w:p>
            <w:pPr>
              <w:jc w:val="center"/>
              <w:rPr>
                <w:rFonts w:ascii="宋体" w:hAnsi="宋体"/>
                <w:sz w:val="28"/>
                <w:szCs w:val="28"/>
              </w:rPr>
            </w:pPr>
            <w:r>
              <w:rPr>
                <w:rFonts w:hint="eastAsia" w:ascii="宋体" w:hAnsi="宋体"/>
                <w:sz w:val="28"/>
                <w:szCs w:val="28"/>
              </w:rPr>
              <w:t>物流基础</w:t>
            </w:r>
          </w:p>
        </w:tc>
        <w:tc>
          <w:tcPr>
            <w:tcW w:w="5911" w:type="dxa"/>
            <w:vAlign w:val="center"/>
          </w:tcPr>
          <w:p>
            <w:pPr>
              <w:jc w:val="left"/>
              <w:rPr>
                <w:rFonts w:ascii="宋体" w:hAnsi="宋体"/>
                <w:sz w:val="28"/>
                <w:szCs w:val="28"/>
              </w:rPr>
            </w:pPr>
            <w:r>
              <w:rPr>
                <w:rFonts w:hint="eastAsia" w:ascii="宋体" w:hAnsi="宋体"/>
                <w:sz w:val="28"/>
                <w:szCs w:val="28"/>
              </w:rPr>
              <w:t>了解各种物流活动；理解各种物流企业类型，物流企业主要服务内容、服务流程；掌握运输、仓储、配送等物流主要作业方式及其作业流程；能使用物流设备进行简单操作。</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3</w:t>
            </w:r>
          </w:p>
        </w:tc>
        <w:tc>
          <w:tcPr>
            <w:tcW w:w="1624" w:type="dxa"/>
            <w:vAlign w:val="center"/>
          </w:tcPr>
          <w:p>
            <w:pPr>
              <w:jc w:val="center"/>
              <w:rPr>
                <w:rFonts w:ascii="宋体" w:hAnsi="宋体"/>
                <w:sz w:val="28"/>
                <w:szCs w:val="28"/>
              </w:rPr>
            </w:pPr>
            <w:r>
              <w:rPr>
                <w:rFonts w:hint="eastAsia" w:ascii="宋体" w:hAnsi="宋体"/>
                <w:sz w:val="28"/>
                <w:szCs w:val="28"/>
              </w:rPr>
              <w:t>电子商务基础</w:t>
            </w:r>
          </w:p>
        </w:tc>
        <w:tc>
          <w:tcPr>
            <w:tcW w:w="5911" w:type="dxa"/>
            <w:vAlign w:val="center"/>
          </w:tcPr>
          <w:p>
            <w:pPr>
              <w:jc w:val="left"/>
              <w:rPr>
                <w:rFonts w:ascii="宋体" w:hAnsi="宋体"/>
                <w:sz w:val="28"/>
                <w:szCs w:val="28"/>
              </w:rPr>
            </w:pPr>
            <w:r>
              <w:rPr>
                <w:rFonts w:hint="eastAsia" w:ascii="宋体" w:hAnsi="宋体"/>
                <w:sz w:val="28"/>
                <w:szCs w:val="28"/>
              </w:rPr>
              <w:t>了解电子商务相关的法律法规、行业政策和网络安全常识；了解网络零售市场的基本特点，电子商务B2B、BTC、C2C等典型电商运营模式；掌握网络零售的主要交易流程，能进行网络商情信息的处理加工；熟悉网上银行和第三方支付平台业务；能应用电子商务平台进行网上商店的搭建和日常商务交易处理。</w:t>
            </w:r>
          </w:p>
        </w:tc>
        <w:tc>
          <w:tcPr>
            <w:tcW w:w="1028" w:type="dxa"/>
            <w:vAlign w:val="center"/>
          </w:tcPr>
          <w:p>
            <w:pPr>
              <w:jc w:val="center"/>
              <w:rPr>
                <w:rFonts w:ascii="宋体" w:hAnsi="宋体"/>
                <w:sz w:val="28"/>
                <w:szCs w:val="28"/>
              </w:rPr>
            </w:pPr>
            <w:r>
              <w:rPr>
                <w:rFonts w:hint="eastAsia" w:ascii="宋体" w:hAnsi="宋体"/>
                <w:sz w:val="28"/>
                <w:szCs w:val="28"/>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4</w:t>
            </w:r>
          </w:p>
        </w:tc>
        <w:tc>
          <w:tcPr>
            <w:tcW w:w="1624" w:type="dxa"/>
            <w:vAlign w:val="center"/>
          </w:tcPr>
          <w:p>
            <w:pPr>
              <w:jc w:val="center"/>
              <w:rPr>
                <w:rFonts w:ascii="宋体" w:hAnsi="宋体"/>
                <w:sz w:val="28"/>
                <w:szCs w:val="28"/>
              </w:rPr>
            </w:pPr>
            <w:r>
              <w:rPr>
                <w:rFonts w:hint="eastAsia" w:ascii="宋体" w:hAnsi="宋体"/>
                <w:sz w:val="28"/>
                <w:szCs w:val="28"/>
              </w:rPr>
              <w:t>电商法规</w:t>
            </w:r>
          </w:p>
        </w:tc>
        <w:tc>
          <w:tcPr>
            <w:tcW w:w="5911" w:type="dxa"/>
            <w:vAlign w:val="center"/>
          </w:tcPr>
          <w:p>
            <w:pPr>
              <w:jc w:val="left"/>
              <w:rPr>
                <w:rFonts w:ascii="宋体" w:hAnsi="宋体"/>
                <w:sz w:val="28"/>
                <w:szCs w:val="28"/>
              </w:rPr>
            </w:pPr>
            <w:r>
              <w:rPr>
                <w:rFonts w:ascii="微软雅黑" w:hAnsi="微软雅黑"/>
                <w:color w:val="000000"/>
                <w:sz w:val="28"/>
                <w:szCs w:val="28"/>
              </w:rPr>
              <w:t>对电子商务的基本概念及特点进行初步介绍的基础上，概述电子商务法的概念、特征和基本原则等法律问题；介绍我国及国际电子商务立法的概况；针对与电子商务法相关的几个法律制度问题，包括数据电文法律制度、电子商务安全法律制度、电子签名和网上认证法律制度、电子商务合同法律制度、电子商务税收法律制度和电子商务中知识产权法律制度等；最后对电子商务隐私权、网上内容审查与管制、网页链接等法律问题</w:t>
            </w:r>
            <w:r>
              <w:rPr>
                <w:rFonts w:hint="eastAsia" w:ascii="微软雅黑" w:hAnsi="微软雅黑"/>
                <w:color w:val="000000"/>
                <w:sz w:val="28"/>
                <w:szCs w:val="28"/>
              </w:rPr>
              <w:t>加强理解</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5</w:t>
            </w:r>
          </w:p>
        </w:tc>
        <w:tc>
          <w:tcPr>
            <w:tcW w:w="1624" w:type="dxa"/>
            <w:vAlign w:val="center"/>
          </w:tcPr>
          <w:p>
            <w:pPr>
              <w:jc w:val="center"/>
              <w:rPr>
                <w:rFonts w:ascii="宋体" w:hAnsi="宋体"/>
                <w:sz w:val="28"/>
                <w:szCs w:val="28"/>
              </w:rPr>
            </w:pPr>
            <w:r>
              <w:rPr>
                <w:rFonts w:hint="eastAsia" w:ascii="宋体" w:hAnsi="宋体"/>
                <w:sz w:val="28"/>
                <w:szCs w:val="28"/>
              </w:rPr>
              <w:t>基础会计</w:t>
            </w:r>
          </w:p>
        </w:tc>
        <w:tc>
          <w:tcPr>
            <w:tcW w:w="5911" w:type="dxa"/>
            <w:vAlign w:val="center"/>
          </w:tcPr>
          <w:p>
            <w:pPr>
              <w:jc w:val="left"/>
              <w:rPr>
                <w:rFonts w:ascii="宋体" w:hAnsi="宋体"/>
                <w:sz w:val="28"/>
                <w:szCs w:val="28"/>
              </w:rPr>
            </w:pPr>
            <w:r>
              <w:rPr>
                <w:rFonts w:hint="eastAsia" w:ascii="宋体" w:hAnsi="宋体"/>
                <w:sz w:val="28"/>
                <w:szCs w:val="28"/>
              </w:rPr>
              <w:t>了解会计的工作职责与要求；熟悉会计核算工作程序；领会会计核算对象、会计核算方法、会计核算方法体系和会计基础工作规范要求；会填制与审核原始凭证；会运用借贷记账法填制企业主要经济业务记账凭证；会登记主要会计账簿；会编制简单的资产负债表和利润表</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6</w:t>
            </w:r>
          </w:p>
        </w:tc>
        <w:tc>
          <w:tcPr>
            <w:tcW w:w="1624" w:type="dxa"/>
            <w:vAlign w:val="center"/>
          </w:tcPr>
          <w:p>
            <w:pPr>
              <w:jc w:val="center"/>
              <w:rPr>
                <w:rFonts w:ascii="宋体" w:hAnsi="宋体"/>
                <w:sz w:val="28"/>
                <w:szCs w:val="28"/>
              </w:rPr>
            </w:pPr>
            <w:r>
              <w:rPr>
                <w:rFonts w:hint="eastAsia" w:ascii="宋体" w:hAnsi="宋体"/>
                <w:sz w:val="28"/>
                <w:szCs w:val="28"/>
              </w:rPr>
              <w:t>国际贸易实务</w:t>
            </w:r>
          </w:p>
        </w:tc>
        <w:tc>
          <w:tcPr>
            <w:tcW w:w="5911" w:type="dxa"/>
            <w:vAlign w:val="center"/>
          </w:tcPr>
          <w:p>
            <w:pPr>
              <w:jc w:val="left"/>
              <w:rPr>
                <w:rFonts w:ascii="宋体" w:hAnsi="宋体"/>
                <w:sz w:val="28"/>
                <w:szCs w:val="28"/>
              </w:rPr>
            </w:pPr>
            <w:r>
              <w:rPr>
                <w:rFonts w:hint="eastAsia" w:ascii="宋体" w:hAnsi="宋体"/>
                <w:sz w:val="28"/>
                <w:szCs w:val="28"/>
              </w:rPr>
              <w:t>了解国际贸易的基本原理和国际经济、国际贸易的基本理论，掌握国际贸易的基本知识与基本技能，了解主要国家与地区的社会经济情况，能在涉外经济贸易部门、外资企业及政府机构从事实际业务、管理、调研和宣传策划工作的高级专门人才。</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7</w:t>
            </w:r>
          </w:p>
        </w:tc>
        <w:tc>
          <w:tcPr>
            <w:tcW w:w="1624" w:type="dxa"/>
            <w:vAlign w:val="center"/>
          </w:tcPr>
          <w:p>
            <w:pPr>
              <w:jc w:val="center"/>
              <w:rPr>
                <w:rFonts w:ascii="宋体" w:hAnsi="宋体"/>
                <w:sz w:val="28"/>
                <w:szCs w:val="28"/>
              </w:rPr>
            </w:pPr>
            <w:r>
              <w:rPr>
                <w:rFonts w:hint="eastAsia" w:ascii="宋体" w:hAnsi="宋体"/>
                <w:sz w:val="28"/>
                <w:szCs w:val="28"/>
              </w:rPr>
              <w:t>商品学</w:t>
            </w:r>
          </w:p>
        </w:tc>
        <w:tc>
          <w:tcPr>
            <w:tcW w:w="5911" w:type="dxa"/>
            <w:vAlign w:val="center"/>
          </w:tcPr>
          <w:p>
            <w:pPr>
              <w:jc w:val="left"/>
              <w:rPr>
                <w:rFonts w:ascii="宋体" w:hAnsi="宋体"/>
                <w:sz w:val="28"/>
                <w:szCs w:val="28"/>
              </w:rPr>
            </w:pPr>
            <w:r>
              <w:rPr>
                <w:rFonts w:hint="eastAsia" w:ascii="宋体" w:hAnsi="宋体"/>
                <w:sz w:val="28"/>
                <w:szCs w:val="28"/>
              </w:rPr>
              <w:t>了解商品属性；能对各种商品进行辨识和基本养护、验收；能辨别商品包装上标识图案和货品商标。</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8</w:t>
            </w:r>
          </w:p>
        </w:tc>
        <w:tc>
          <w:tcPr>
            <w:tcW w:w="1624" w:type="dxa"/>
            <w:vAlign w:val="center"/>
          </w:tcPr>
          <w:p>
            <w:pPr>
              <w:jc w:val="center"/>
              <w:rPr>
                <w:rFonts w:ascii="宋体" w:hAnsi="宋体"/>
                <w:sz w:val="28"/>
                <w:szCs w:val="28"/>
              </w:rPr>
            </w:pPr>
            <w:r>
              <w:rPr>
                <w:rFonts w:hint="eastAsia" w:ascii="宋体" w:hAnsi="宋体"/>
                <w:sz w:val="28"/>
                <w:szCs w:val="28"/>
              </w:rPr>
              <w:t>沟通技巧</w:t>
            </w:r>
          </w:p>
        </w:tc>
        <w:tc>
          <w:tcPr>
            <w:tcW w:w="5911" w:type="dxa"/>
            <w:vAlign w:val="center"/>
          </w:tcPr>
          <w:p>
            <w:pPr>
              <w:jc w:val="left"/>
              <w:rPr>
                <w:rFonts w:ascii="宋体" w:hAnsi="宋体"/>
                <w:sz w:val="28"/>
                <w:szCs w:val="28"/>
              </w:rPr>
            </w:pPr>
            <w:r>
              <w:rPr>
                <w:rFonts w:hint="eastAsia" w:ascii="宋体" w:hAnsi="宋体"/>
                <w:sz w:val="28"/>
                <w:szCs w:val="28"/>
              </w:rPr>
              <w:t>了解客户心理知识，掌握与客户沟通的技巧与方法；能通过电话或网络即时通信工具有效明确的向客户传达服务信息、态度；能通过准确解读客户信息；掌握客户想法、感受与态度；会对客户进行有利于问题解决的提问、倾听、表达。</w:t>
            </w:r>
          </w:p>
        </w:tc>
        <w:tc>
          <w:tcPr>
            <w:tcW w:w="1028" w:type="dxa"/>
            <w:vAlign w:val="center"/>
          </w:tcPr>
          <w:p>
            <w:pPr>
              <w:jc w:val="center"/>
              <w:rPr>
                <w:rFonts w:ascii="宋体" w:hAnsi="宋体"/>
                <w:sz w:val="28"/>
                <w:szCs w:val="28"/>
              </w:rPr>
            </w:pPr>
            <w:r>
              <w:rPr>
                <w:rFonts w:hint="eastAsia" w:ascii="宋体" w:hAnsi="宋体"/>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sz w:val="28"/>
                <w:szCs w:val="28"/>
              </w:rPr>
            </w:pPr>
            <w:r>
              <w:rPr>
                <w:rFonts w:hint="eastAsia" w:ascii="宋体" w:hAnsi="宋体"/>
                <w:sz w:val="28"/>
                <w:szCs w:val="28"/>
              </w:rPr>
              <w:t>9</w:t>
            </w:r>
          </w:p>
        </w:tc>
        <w:tc>
          <w:tcPr>
            <w:tcW w:w="1624" w:type="dxa"/>
            <w:vAlign w:val="center"/>
          </w:tcPr>
          <w:p>
            <w:pPr>
              <w:jc w:val="center"/>
              <w:rPr>
                <w:rFonts w:ascii="宋体" w:hAnsi="宋体"/>
                <w:color w:val="FF0000"/>
                <w:sz w:val="28"/>
                <w:szCs w:val="28"/>
              </w:rPr>
            </w:pPr>
            <w:r>
              <w:rPr>
                <w:rFonts w:hint="eastAsia" w:ascii="宋体" w:hAnsi="宋体"/>
                <w:color w:val="000000" w:themeColor="text1"/>
                <w:sz w:val="28"/>
                <w:szCs w:val="28"/>
                <w14:textFill>
                  <w14:solidFill>
                    <w14:schemeClr w14:val="tx1"/>
                  </w14:solidFill>
                </w14:textFill>
              </w:rPr>
              <w:t>电子商务案例分析</w:t>
            </w:r>
          </w:p>
        </w:tc>
        <w:tc>
          <w:tcPr>
            <w:tcW w:w="5911" w:type="dxa"/>
            <w:vAlign w:val="center"/>
          </w:tcPr>
          <w:p>
            <w:pPr>
              <w:jc w:val="left"/>
              <w:rPr>
                <w:rFonts w:ascii="宋体" w:hAnsi="宋体"/>
                <w:sz w:val="28"/>
                <w:szCs w:val="28"/>
              </w:rPr>
            </w:pPr>
            <w:r>
              <w:rPr>
                <w:rFonts w:hint="eastAsia" w:ascii="宋体" w:hAnsi="宋体"/>
                <w:sz w:val="28"/>
                <w:szCs w:val="28"/>
              </w:rPr>
              <w:t>了解电子商务运作中表现突出的典型案例，对其经营策略、实际运作以及得失成败的原因进行深入分析和探讨，掌握电子商务运作模式，熟悉电子商务应用环境，能进行电商营销策划和相关实际操作。</w:t>
            </w:r>
          </w:p>
        </w:tc>
        <w:tc>
          <w:tcPr>
            <w:tcW w:w="1028" w:type="dxa"/>
            <w:vAlign w:val="center"/>
          </w:tcPr>
          <w:p>
            <w:pPr>
              <w:jc w:val="center"/>
              <w:rPr>
                <w:rFonts w:ascii="宋体" w:hAnsi="宋体"/>
                <w:sz w:val="28"/>
                <w:szCs w:val="28"/>
              </w:rPr>
            </w:pPr>
            <w:r>
              <w:rPr>
                <w:rFonts w:hint="eastAsia" w:ascii="宋体" w:hAnsi="宋体"/>
                <w:sz w:val="28"/>
                <w:szCs w:val="28"/>
              </w:rPr>
              <w:t>72</w:t>
            </w:r>
          </w:p>
        </w:tc>
      </w:tr>
    </w:tbl>
    <w:p>
      <w:pPr>
        <w:rPr>
          <w:rFonts w:ascii="宋体" w:hAnsi="宋体"/>
          <w:sz w:val="28"/>
          <w:szCs w:val="28"/>
        </w:rPr>
      </w:pPr>
    </w:p>
    <w:p>
      <w:pPr>
        <w:rPr>
          <w:rFonts w:ascii="宋体" w:hAnsi="宋体"/>
          <w:b/>
          <w:sz w:val="28"/>
          <w:szCs w:val="28"/>
        </w:rPr>
      </w:pPr>
      <w:r>
        <w:rPr>
          <w:rFonts w:hint="eastAsia" w:ascii="宋体" w:hAnsi="宋体"/>
          <w:b/>
          <w:sz w:val="28"/>
          <w:szCs w:val="28"/>
        </w:rPr>
        <w:t>2、专业技能（实训）课</w:t>
      </w:r>
    </w:p>
    <w:tbl>
      <w:tblPr>
        <w:tblStyle w:val="6"/>
        <w:tblW w:w="96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467"/>
        <w:gridCol w:w="606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宋体" w:hAnsi="宋体"/>
                <w:b/>
                <w:sz w:val="28"/>
                <w:szCs w:val="28"/>
              </w:rPr>
            </w:pPr>
            <w:r>
              <w:rPr>
                <w:rFonts w:hint="eastAsia" w:ascii="宋体" w:hAnsi="宋体"/>
                <w:b/>
                <w:sz w:val="28"/>
                <w:szCs w:val="28"/>
              </w:rPr>
              <w:t>序号</w:t>
            </w:r>
          </w:p>
        </w:tc>
        <w:tc>
          <w:tcPr>
            <w:tcW w:w="1467" w:type="dxa"/>
            <w:vAlign w:val="center"/>
          </w:tcPr>
          <w:p>
            <w:pPr>
              <w:jc w:val="center"/>
              <w:rPr>
                <w:rFonts w:ascii="宋体" w:hAnsi="宋体"/>
                <w:b/>
                <w:sz w:val="28"/>
                <w:szCs w:val="28"/>
              </w:rPr>
            </w:pPr>
            <w:r>
              <w:rPr>
                <w:rFonts w:hint="eastAsia" w:ascii="宋体" w:hAnsi="宋体"/>
                <w:b/>
                <w:sz w:val="28"/>
                <w:szCs w:val="28"/>
              </w:rPr>
              <w:t>课程名称</w:t>
            </w:r>
          </w:p>
        </w:tc>
        <w:tc>
          <w:tcPr>
            <w:tcW w:w="6068" w:type="dxa"/>
            <w:vAlign w:val="center"/>
          </w:tcPr>
          <w:p>
            <w:pPr>
              <w:jc w:val="center"/>
              <w:rPr>
                <w:rFonts w:ascii="宋体" w:hAnsi="宋体"/>
                <w:b/>
                <w:sz w:val="28"/>
                <w:szCs w:val="28"/>
              </w:rPr>
            </w:pPr>
            <w:r>
              <w:rPr>
                <w:rFonts w:hint="eastAsia" w:ascii="宋体" w:hAnsi="宋体"/>
                <w:b/>
                <w:sz w:val="28"/>
                <w:szCs w:val="28"/>
              </w:rPr>
              <w:t>主要教学内容和要求</w:t>
            </w:r>
          </w:p>
        </w:tc>
        <w:tc>
          <w:tcPr>
            <w:tcW w:w="1028" w:type="dxa"/>
            <w:vAlign w:val="center"/>
          </w:tcPr>
          <w:p>
            <w:pPr>
              <w:jc w:val="center"/>
              <w:rPr>
                <w:rFonts w:ascii="宋体" w:hAnsi="宋体"/>
                <w:b/>
                <w:sz w:val="28"/>
                <w:szCs w:val="28"/>
              </w:rPr>
            </w:pPr>
            <w:r>
              <w:rPr>
                <w:rFonts w:hint="eastAsia" w:ascii="宋体" w:hAnsi="宋体"/>
                <w:b/>
                <w:sz w:val="28"/>
                <w:szCs w:val="28"/>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ERP</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ERP的和核心思想，了解ERP系统的战略规划、市场营销、生产组织、采购管理、库存管理、财务管理等环节的操作，能够进行手工沙盘盘面操作，熟悉原材料计算，资金的预算，能够运用电子沙盘模拟企业经营4至6年并保持盈利。</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电商物流</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电子商务物流中心仓储配送的工作职责；掌握仓储管理和配送系统的操作方法，能对客户的网络订单进行处理；能按照安全规范，熟练使用各种包装设备，准确迅速的完成物品的包装、封装登记本操作；能对单据进行管理与跟踪，合理安排退换货流程。</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网店装修</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能通过后台选择套用模板；选择配色方案；掌握调整网页布局、选择模块的操作方法；能通过后台上传图片至正确位置；能通过后台发表文章至正确位置；会修改代码，通过修改代码完成页面编辑，或通过PS修改图片。</w:t>
            </w:r>
          </w:p>
        </w:tc>
        <w:tc>
          <w:tcPr>
            <w:tcW w:w="1028" w:type="dxa"/>
            <w:vAlign w:val="center"/>
          </w:tcPr>
          <w:p>
            <w:pPr>
              <w:jc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商务礼仪</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了解商务礼仪内涵、原则、特点和功能。了解职场的沟通礼仪、面试礼仪、会议谈判礼仪、商务会餐礼仪等基本礼仪规范。掌握各种场合下的站姿、坐姿、仪容仪表的修饰技巧等，掌握个人简历的书写规范。</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网络推广</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网络推广的含义，能分析现状，寻找潜在用户，制定推广策略；能运用电子邮件进行推广；了解搜索引擎优化推广的工作内容、运作方法及操作规范，能完成选择关键词、建设友情链接、发布外部链接及推广效果分析工作。</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网络营销实务</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了能选择恰当的站外营销推广方法，正确操作相关工具软件，增加网站的流量；能根据第三方平台规范及特点，选择适合自身的平台内部营销推广方法，正确操作后台。</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网店商品拍摄与图片处理</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商品E化工作职责；能根据拍摄要求调试相机，拍摄出清晰的体现商品卖点的相片；能正确展示商品，形成商品详情页；掌握促销图设计制作相关知识，能使用设计类工具软件制作商品促销信息，突出商品卖点。</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网页设计与制作</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网站页面布局特点及不同页面布局所适用的范围；了解电子商务网站的特点和发展趋势；能使用平面设计软件，按照制作流程完成网站效果图的制作；能根据网站内容，合理选择设计风格与页面布局；会使用配色软件为网站选择配色方案，是网站整体风格适应网站内容。</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HTML</w:t>
            </w:r>
          </w:p>
        </w:tc>
        <w:tc>
          <w:tcPr>
            <w:tcW w:w="6068" w:type="dxa"/>
          </w:tcPr>
          <w:p>
            <w:pPr>
              <w:rPr>
                <w:rFonts w:asciiTheme="minorEastAsia" w:hAnsiTheme="minorEastAsia" w:eastAsiaTheme="minorEastAsia"/>
                <w:sz w:val="28"/>
                <w:szCs w:val="28"/>
              </w:rPr>
            </w:pPr>
            <w:r>
              <w:rPr>
                <w:rFonts w:cs="Tahoma" w:asciiTheme="minorEastAsia" w:hAnsiTheme="minorEastAsia" w:eastAsiaTheme="minorEastAsia"/>
                <w:color w:val="666666"/>
                <w:sz w:val="28"/>
                <w:szCs w:val="28"/>
                <w:shd w:val="clear" w:color="auto" w:fill="FFFFFF"/>
              </w:rPr>
              <w:t>介绍了HTML5、CSS3、等前端网页设计技术。重点介绍网页设计的相关概念、HTML5语言基础和网页设计开发工具Sublime Text的使用</w:t>
            </w:r>
            <w:r>
              <w:rPr>
                <w:rFonts w:hint="eastAsia" w:cs="Tahoma" w:asciiTheme="minorEastAsia" w:hAnsiTheme="minorEastAsia" w:eastAsiaTheme="minorEastAsia"/>
                <w:color w:val="666666"/>
                <w:sz w:val="28"/>
                <w:szCs w:val="28"/>
                <w:shd w:val="clear" w:color="auto" w:fill="FFFFFF"/>
              </w:rPr>
              <w:t>；简单理解</w:t>
            </w:r>
            <w:r>
              <w:rPr>
                <w:rFonts w:cs="Tahoma" w:asciiTheme="minorEastAsia" w:hAnsiTheme="minorEastAsia" w:eastAsiaTheme="minorEastAsia"/>
                <w:color w:val="666666"/>
                <w:sz w:val="28"/>
                <w:szCs w:val="28"/>
                <w:shd w:val="clear" w:color="auto" w:fill="FFFFFF"/>
              </w:rPr>
              <w:t>CSS3样式表与网页布局的相关知识</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1467"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电子商务客户服务操作实务</w:t>
            </w:r>
          </w:p>
        </w:tc>
        <w:tc>
          <w:tcPr>
            <w:tcW w:w="6068" w:type="dxa"/>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了解客户关系管理的意义；掌握客户管理管理的基本方法；能熟练与客户后台沟通，会进行大客户关系管理，客户满意度管理以及客户忠诚度管理。</w:t>
            </w:r>
          </w:p>
        </w:tc>
        <w:tc>
          <w:tcPr>
            <w:tcW w:w="1028" w:type="dxa"/>
            <w:vAlign w:val="center"/>
          </w:tcPr>
          <w:p>
            <w:pPr>
              <w:widowControl/>
              <w:jc w:val="center"/>
              <w:textAlignment w:val="center"/>
              <w:rPr>
                <w:rFonts w:cs="宋体" w:asciiTheme="minorEastAsia" w:hAnsiTheme="minorEastAsia" w:eastAsiaTheme="minorEastAsia"/>
                <w:color w:val="000000"/>
                <w:sz w:val="28"/>
                <w:szCs w:val="28"/>
              </w:rPr>
            </w:pPr>
            <w:r>
              <w:rPr>
                <w:rFonts w:hint="eastAsia" w:cs="宋体" w:asciiTheme="minorEastAsia" w:hAnsiTheme="minorEastAsia" w:eastAsiaTheme="minorEastAsia"/>
                <w:color w:val="000000"/>
                <w:kern w:val="0"/>
                <w:sz w:val="28"/>
                <w:szCs w:val="28"/>
              </w:rPr>
              <w:t>36</w:t>
            </w:r>
          </w:p>
        </w:tc>
      </w:tr>
    </w:tbl>
    <w:p>
      <w:pPr>
        <w:spacing w:line="400" w:lineRule="exact"/>
        <w:rPr>
          <w:rFonts w:ascii="宋体" w:hAnsi="宋体"/>
          <w:b/>
          <w:sz w:val="28"/>
          <w:szCs w:val="28"/>
        </w:rPr>
      </w:pPr>
    </w:p>
    <w:p>
      <w:pPr>
        <w:spacing w:line="400" w:lineRule="exact"/>
        <w:rPr>
          <w:rFonts w:cs="宋体" w:asciiTheme="minorEastAsia" w:hAnsiTheme="minorEastAsia" w:eastAsiaTheme="minorEastAsia"/>
          <w:sz w:val="28"/>
          <w:szCs w:val="28"/>
        </w:rPr>
      </w:pPr>
      <w:r>
        <w:rPr>
          <w:rFonts w:hint="eastAsia" w:ascii="宋体" w:hAnsi="宋体"/>
          <w:b/>
          <w:sz w:val="28"/>
          <w:szCs w:val="28"/>
        </w:rPr>
        <w:t>（三）</w:t>
      </w:r>
      <w:r>
        <w:rPr>
          <w:rFonts w:hint="eastAsia" w:cs="宋体" w:asciiTheme="minorEastAsia" w:hAnsiTheme="minorEastAsia" w:eastAsiaTheme="minorEastAsia"/>
          <w:sz w:val="28"/>
          <w:szCs w:val="28"/>
        </w:rPr>
        <w:t>专业选修课</w:t>
      </w:r>
    </w:p>
    <w:p>
      <w:pPr>
        <w:spacing w:line="400" w:lineRule="exact"/>
        <w:rPr>
          <w:rFonts w:ascii="宋体" w:hAnsi="宋体" w:cs="宋体"/>
          <w:sz w:val="28"/>
          <w:szCs w:val="28"/>
        </w:rPr>
      </w:pPr>
      <w:r>
        <w:rPr>
          <w:rFonts w:hint="eastAsia" w:ascii="宋体" w:hAnsi="宋体" w:cs="宋体"/>
          <w:sz w:val="28"/>
          <w:szCs w:val="28"/>
        </w:rPr>
        <w:t>（1）商务礼仪强化</w:t>
      </w:r>
    </w:p>
    <w:p>
      <w:pPr>
        <w:spacing w:line="400" w:lineRule="exact"/>
        <w:rPr>
          <w:rFonts w:ascii="宋体" w:hAnsi="宋体" w:cs="宋体"/>
          <w:sz w:val="28"/>
          <w:szCs w:val="28"/>
        </w:rPr>
      </w:pPr>
      <w:r>
        <w:rPr>
          <w:rFonts w:hint="eastAsia" w:ascii="宋体" w:hAnsi="宋体" w:cs="宋体"/>
          <w:sz w:val="28"/>
          <w:szCs w:val="28"/>
        </w:rPr>
        <w:t>（2）ERP企业经营体验</w:t>
      </w:r>
    </w:p>
    <w:p>
      <w:pPr>
        <w:spacing w:line="400" w:lineRule="exact"/>
        <w:rPr>
          <w:rFonts w:ascii="宋体" w:hAnsi="宋体" w:cs="宋体"/>
          <w:sz w:val="28"/>
          <w:szCs w:val="28"/>
        </w:rPr>
      </w:pPr>
      <w:r>
        <w:rPr>
          <w:rFonts w:hint="eastAsia" w:ascii="宋体" w:hAnsi="宋体" w:cs="宋体"/>
          <w:sz w:val="28"/>
          <w:szCs w:val="28"/>
        </w:rPr>
        <w:t>（3）电子商务比赛强化</w:t>
      </w:r>
    </w:p>
    <w:p>
      <w:pPr>
        <w:spacing w:line="400" w:lineRule="exact"/>
        <w:rPr>
          <w:rFonts w:ascii="宋体" w:hAnsi="宋体" w:cs="宋体"/>
          <w:sz w:val="28"/>
          <w:szCs w:val="28"/>
        </w:rPr>
      </w:pPr>
      <w:r>
        <w:rPr>
          <w:rFonts w:hint="eastAsia" w:ascii="宋体" w:hAnsi="宋体" w:cs="宋体"/>
          <w:sz w:val="28"/>
          <w:szCs w:val="28"/>
        </w:rPr>
        <w:t>（4）PS强化体验</w:t>
      </w:r>
    </w:p>
    <w:p>
      <w:pPr>
        <w:rPr>
          <w:rFonts w:ascii="宋体" w:hAnsi="宋体"/>
          <w:b/>
          <w:sz w:val="28"/>
          <w:szCs w:val="28"/>
        </w:rPr>
      </w:pPr>
    </w:p>
    <w:p>
      <w:pPr>
        <w:rPr>
          <w:rFonts w:ascii="宋体" w:hAnsi="宋体"/>
          <w:b/>
          <w:sz w:val="28"/>
          <w:szCs w:val="28"/>
        </w:rPr>
      </w:pPr>
      <w:r>
        <w:rPr>
          <w:rFonts w:hint="eastAsia" w:ascii="宋体" w:hAnsi="宋体"/>
          <w:b/>
          <w:sz w:val="28"/>
          <w:szCs w:val="28"/>
        </w:rPr>
        <w:t>（四）顶岗实习</w:t>
      </w:r>
    </w:p>
    <w:p>
      <w:pPr>
        <w:ind w:firstLine="560" w:firstLineChars="200"/>
        <w:rPr>
          <w:rFonts w:ascii="宋体" w:hAnsi="宋体"/>
          <w:sz w:val="28"/>
          <w:szCs w:val="28"/>
        </w:rPr>
      </w:pPr>
      <w:r>
        <w:rPr>
          <w:rFonts w:hint="eastAsia" w:ascii="宋体" w:hAnsi="宋体"/>
          <w:sz w:val="28"/>
          <w:szCs w:val="28"/>
        </w:rPr>
        <w:t>顶岗实习是本专业最后的实践性教学环节，认真落实教育部、财政部关于《中等职业学校学生实习管理办法》的有关要求，保证学生顶岗实习的岗位与其所学专业面向的岗位（群）基本一致。</w:t>
      </w:r>
    </w:p>
    <w:p>
      <w:pPr>
        <w:rPr>
          <w:rFonts w:ascii="宋体" w:hAnsi="宋体"/>
          <w:b/>
          <w:sz w:val="28"/>
          <w:szCs w:val="28"/>
        </w:rPr>
      </w:pPr>
      <w:r>
        <w:rPr>
          <w:rFonts w:hint="eastAsia" w:ascii="宋体" w:hAnsi="宋体"/>
          <w:b/>
          <w:sz w:val="28"/>
          <w:szCs w:val="28"/>
        </w:rPr>
        <w:t>十、教学时间安排</w:t>
      </w:r>
    </w:p>
    <w:p>
      <w:pPr>
        <w:ind w:firstLine="570"/>
        <w:rPr>
          <w:rFonts w:ascii="宋体" w:hAnsi="宋体"/>
          <w:sz w:val="28"/>
          <w:szCs w:val="28"/>
        </w:rPr>
      </w:pPr>
      <w:r>
        <w:rPr>
          <w:rFonts w:hint="eastAsia" w:ascii="宋体" w:hAnsi="宋体"/>
          <w:sz w:val="28"/>
          <w:szCs w:val="28"/>
        </w:rPr>
        <w:t>每学年为52周，其中教学时间40周（含复习考试），累计假期12周，周学时一般为28学时，顶岗实习按每周30小时（1小时折合1学时）安排，3年总学时为3000—3300。课程开设顺序和周学时安排，学校可根据实际情况调整。实行学分制，一般16—18学时为1学分，3年制总学分不得少于170。军训、社会实践、入学教育、毕业教育等活动以1周为1学分，共5学分。</w:t>
      </w:r>
    </w:p>
    <w:p>
      <w:pPr>
        <w:ind w:firstLine="570"/>
        <w:rPr>
          <w:rFonts w:ascii="宋体" w:hAnsi="宋体"/>
          <w:sz w:val="28"/>
          <w:szCs w:val="28"/>
        </w:rPr>
      </w:pPr>
      <w:r>
        <w:rPr>
          <w:rFonts w:hint="eastAsia" w:ascii="宋体" w:hAnsi="宋体"/>
          <w:sz w:val="28"/>
          <w:szCs w:val="28"/>
        </w:rPr>
        <w:t>公共基础课学时约占总学时的1/4，允许根据行业人才培养的实际需要在规定的范围内适当调整，但必须保证学生修完公共基础课的必修内容和学时。</w:t>
      </w:r>
    </w:p>
    <w:p>
      <w:pPr>
        <w:ind w:firstLine="570"/>
        <w:rPr>
          <w:rFonts w:ascii="宋体" w:hAnsi="宋体"/>
          <w:sz w:val="28"/>
          <w:szCs w:val="28"/>
        </w:rPr>
      </w:pPr>
      <w:r>
        <w:rPr>
          <w:rFonts w:hint="eastAsia" w:ascii="宋体" w:hAnsi="宋体"/>
          <w:sz w:val="28"/>
          <w:szCs w:val="28"/>
        </w:rPr>
        <w:t>专业技能课学时约占总学时的3/4，在确保学生实习总量的前提下，可根据实际需要集中或分阶段安排实习时间，行业企业认知实习应安排在第一学年。</w:t>
      </w:r>
    </w:p>
    <w:p>
      <w:pPr>
        <w:ind w:firstLine="570"/>
        <w:rPr>
          <w:rFonts w:ascii="宋体" w:hAnsi="宋体"/>
          <w:sz w:val="28"/>
          <w:szCs w:val="28"/>
        </w:rPr>
      </w:pPr>
      <w:r>
        <w:rPr>
          <w:rFonts w:hint="eastAsia" w:ascii="宋体" w:hAnsi="宋体"/>
          <w:sz w:val="28"/>
          <w:szCs w:val="28"/>
        </w:rPr>
        <w:t>课程设置中应设选修课，其学时数占总学时的比例应不少于10%。</w:t>
      </w:r>
    </w:p>
    <w:p>
      <w:pPr>
        <w:rPr>
          <w:rFonts w:ascii="宋体" w:hAnsi="宋体"/>
          <w:b/>
          <w:sz w:val="28"/>
          <w:szCs w:val="28"/>
        </w:rPr>
      </w:pPr>
    </w:p>
    <w:p>
      <w:pPr>
        <w:rPr>
          <w:rFonts w:ascii="宋体" w:hAnsi="宋体"/>
          <w:b/>
          <w:sz w:val="28"/>
          <w:szCs w:val="28"/>
        </w:rPr>
      </w:pPr>
      <w:r>
        <w:rPr>
          <w:rFonts w:hint="eastAsia" w:ascii="宋体" w:hAnsi="宋体"/>
          <w:b/>
          <w:sz w:val="28"/>
          <w:szCs w:val="28"/>
        </w:rPr>
        <w:t>十、课程教学设置</w:t>
      </w:r>
    </w:p>
    <w:p>
      <w:pPr>
        <w:ind w:firstLine="643" w:firstLineChars="20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电子商务课程设置计划</w:t>
      </w:r>
    </w:p>
    <w:p>
      <w:pPr>
        <w:ind w:firstLine="1265" w:firstLineChars="450"/>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                  （2+1）</w:t>
      </w:r>
    </w:p>
    <w:tbl>
      <w:tblPr>
        <w:tblStyle w:val="5"/>
        <w:tblpPr w:leftFromText="180" w:rightFromText="180" w:vertAnchor="text" w:horzAnchor="margin" w:tblpXSpec="center" w:tblpY="1094"/>
        <w:tblOverlap w:val="never"/>
        <w:tblW w:w="9249" w:type="dxa"/>
        <w:tblInd w:w="0" w:type="dxa"/>
        <w:tblLayout w:type="fixed"/>
        <w:tblCellMar>
          <w:top w:w="15" w:type="dxa"/>
          <w:left w:w="15" w:type="dxa"/>
          <w:bottom w:w="15" w:type="dxa"/>
          <w:right w:w="15" w:type="dxa"/>
        </w:tblCellMar>
      </w:tblPr>
      <w:tblGrid>
        <w:gridCol w:w="433"/>
        <w:gridCol w:w="8"/>
        <w:gridCol w:w="425"/>
        <w:gridCol w:w="2247"/>
        <w:gridCol w:w="869"/>
        <w:gridCol w:w="851"/>
        <w:gridCol w:w="887"/>
        <w:gridCol w:w="547"/>
        <w:gridCol w:w="436"/>
        <w:gridCol w:w="542"/>
        <w:gridCol w:w="425"/>
        <w:gridCol w:w="425"/>
        <w:gridCol w:w="425"/>
        <w:gridCol w:w="729"/>
      </w:tblGrid>
      <w:tr>
        <w:tblPrEx>
          <w:tblCellMar>
            <w:top w:w="15" w:type="dxa"/>
            <w:left w:w="15" w:type="dxa"/>
            <w:bottom w:w="15" w:type="dxa"/>
            <w:right w:w="15" w:type="dxa"/>
          </w:tblCellMar>
        </w:tblPrEx>
        <w:trPr>
          <w:trHeight w:val="285" w:hRule="atLeast"/>
        </w:trPr>
        <w:tc>
          <w:tcPr>
            <w:tcW w:w="866" w:type="dxa"/>
            <w:gridSpan w:val="3"/>
            <w:tcBorders>
              <w:top w:val="single" w:color="000000" w:sz="4" w:space="0"/>
              <w:left w:val="single" w:color="000000" w:sz="4" w:space="0"/>
              <w:bottom w:val="single" w:color="000000" w:sz="4" w:space="0"/>
              <w:right w:val="single" w:color="000000" w:sz="4" w:space="0"/>
            </w:tcBorders>
          </w:tcPr>
          <w:p>
            <w:pPr>
              <w:widowControl/>
              <w:jc w:val="left"/>
              <w:textAlignment w:val="center"/>
              <w:rPr>
                <w:rFonts w:ascii="宋体" w:hAnsi="宋体" w:cs="宋体"/>
                <w:color w:val="000000"/>
                <w:kern w:val="0"/>
                <w:sz w:val="18"/>
                <w:szCs w:val="18"/>
              </w:rPr>
            </w:pPr>
          </w:p>
        </w:tc>
        <w:tc>
          <w:tcPr>
            <w:tcW w:w="8383" w:type="dxa"/>
            <w:gridSpan w:val="11"/>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学制：三年（2+1）(20周/学期)</w:t>
            </w:r>
          </w:p>
        </w:tc>
      </w:tr>
      <w:tr>
        <w:tblPrEx>
          <w:tblCellMar>
            <w:top w:w="15" w:type="dxa"/>
            <w:left w:w="15" w:type="dxa"/>
            <w:bottom w:w="15" w:type="dxa"/>
            <w:right w:w="15" w:type="dxa"/>
          </w:tblCellMar>
        </w:tblPrEx>
        <w:trPr>
          <w:trHeight w:val="285" w:hRule="atLeast"/>
        </w:trPr>
        <w:tc>
          <w:tcPr>
            <w:tcW w:w="866"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课程类别</w:t>
            </w:r>
          </w:p>
        </w:tc>
        <w:tc>
          <w:tcPr>
            <w:tcW w:w="2247"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课程名称</w:t>
            </w:r>
          </w:p>
        </w:tc>
        <w:tc>
          <w:tcPr>
            <w:tcW w:w="869"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两年</w:t>
            </w:r>
            <w:r>
              <w:rPr>
                <w:rFonts w:hint="eastAsia" w:ascii="宋体" w:hAnsi="宋体" w:cs="宋体"/>
                <w:color w:val="000000"/>
                <w:sz w:val="18"/>
                <w:szCs w:val="18"/>
              </w:rPr>
              <w:t>教学时数</w:t>
            </w:r>
            <w:r>
              <w:rPr>
                <w:rFonts w:hint="eastAsia" w:ascii="宋体" w:hAnsi="宋体" w:cs="宋体"/>
                <w:color w:val="000000"/>
                <w:kern w:val="0"/>
                <w:sz w:val="18"/>
                <w:szCs w:val="18"/>
              </w:rPr>
              <w:t>总计</w:t>
            </w:r>
          </w:p>
        </w:tc>
        <w:tc>
          <w:tcPr>
            <w:tcW w:w="851"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周课时</w:t>
            </w:r>
          </w:p>
        </w:tc>
        <w:tc>
          <w:tcPr>
            <w:tcW w:w="887"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学分</w:t>
            </w:r>
          </w:p>
        </w:tc>
        <w:tc>
          <w:tcPr>
            <w:tcW w:w="280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每学期内周学时分配</w:t>
            </w:r>
          </w:p>
        </w:tc>
        <w:tc>
          <w:tcPr>
            <w:tcW w:w="72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备注</w:t>
            </w:r>
          </w:p>
        </w:tc>
      </w:tr>
      <w:tr>
        <w:tblPrEx>
          <w:tblCellMar>
            <w:top w:w="15" w:type="dxa"/>
            <w:left w:w="15" w:type="dxa"/>
            <w:bottom w:w="15" w:type="dxa"/>
            <w:right w:w="15" w:type="dxa"/>
          </w:tblCellMar>
        </w:tblPrEx>
        <w:trPr>
          <w:trHeight w:val="772" w:hRule="atLeast"/>
        </w:trPr>
        <w:tc>
          <w:tcPr>
            <w:tcW w:w="866"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869" w:type="dxa"/>
            <w:vMerge w:val="continue"/>
            <w:tcBorders>
              <w:left w:val="single" w:color="000000" w:sz="4" w:space="0"/>
              <w:bottom w:val="nil"/>
              <w:right w:val="single" w:color="000000" w:sz="4" w:space="0"/>
            </w:tcBorders>
            <w:vAlign w:val="center"/>
          </w:tcPr>
          <w:p>
            <w:pPr>
              <w:widowControl/>
              <w:jc w:val="center"/>
              <w:textAlignment w:val="center"/>
              <w:rPr>
                <w:rFonts w:ascii="宋体" w:hAnsi="宋体" w:cs="宋体"/>
                <w:color w:val="000000"/>
                <w:sz w:val="18"/>
                <w:szCs w:val="18"/>
              </w:rPr>
            </w:pPr>
          </w:p>
        </w:tc>
        <w:tc>
          <w:tcPr>
            <w:tcW w:w="851" w:type="dxa"/>
            <w:vMerge w:val="continue"/>
            <w:tcBorders>
              <w:left w:val="single" w:color="000000" w:sz="4" w:space="0"/>
              <w:bottom w:val="nil"/>
              <w:right w:val="single" w:color="000000" w:sz="4" w:space="0"/>
            </w:tcBorders>
            <w:vAlign w:val="center"/>
          </w:tcPr>
          <w:p>
            <w:pPr>
              <w:widowControl/>
              <w:jc w:val="center"/>
              <w:textAlignment w:val="center"/>
              <w:rPr>
                <w:rFonts w:ascii="宋体" w:hAnsi="宋体" w:cs="宋体"/>
                <w:color w:val="000000"/>
                <w:sz w:val="18"/>
                <w:szCs w:val="18"/>
              </w:rPr>
            </w:pPr>
          </w:p>
        </w:tc>
        <w:tc>
          <w:tcPr>
            <w:tcW w:w="887" w:type="dxa"/>
            <w:vMerge w:val="continue"/>
            <w:tcBorders>
              <w:left w:val="single" w:color="000000" w:sz="4" w:space="0"/>
              <w:bottom w:val="nil"/>
              <w:right w:val="single" w:color="000000" w:sz="4" w:space="0"/>
            </w:tcBorders>
            <w:vAlign w:val="center"/>
          </w:tcPr>
          <w:p>
            <w:pPr>
              <w:widowControl/>
              <w:jc w:val="center"/>
              <w:textAlignment w:val="center"/>
              <w:rPr>
                <w:rFonts w:ascii="宋体" w:hAnsi="宋体" w:cs="宋体"/>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四</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五</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六</w:t>
            </w:r>
          </w:p>
        </w:tc>
        <w:tc>
          <w:tcPr>
            <w:tcW w:w="72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公</w:t>
            </w:r>
          </w:p>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共</w:t>
            </w:r>
          </w:p>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基</w:t>
            </w:r>
          </w:p>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础</w:t>
            </w:r>
          </w:p>
          <w:p>
            <w:pPr>
              <w:widowControl/>
              <w:ind w:firstLine="360" w:firstLineChars="200"/>
              <w:textAlignment w:val="center"/>
              <w:rPr>
                <w:rFonts w:ascii="宋体" w:hAnsi="宋体" w:cs="宋体"/>
                <w:color w:val="000000"/>
                <w:sz w:val="18"/>
                <w:szCs w:val="18"/>
              </w:rPr>
            </w:pPr>
            <w:r>
              <w:rPr>
                <w:rFonts w:hint="eastAsia" w:ascii="宋体" w:hAnsi="宋体" w:cs="宋体"/>
                <w:color w:val="000000"/>
                <w:kern w:val="0"/>
                <w:sz w:val="18"/>
                <w:szCs w:val="18"/>
              </w:rPr>
              <w:t>课</w:t>
            </w: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语文</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FF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英语</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职业生涯与规划</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37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职业道德与法律</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经济政治与社会</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哲学与人生</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计基（文字录入）</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000000" w:sz="4" w:space="0"/>
              <w:right w:val="single" w:color="000000"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体育</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144</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8</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8</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3113"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公共基础课合计</w:t>
            </w:r>
            <w:bookmarkStart w:id="0" w:name="_GoBack"/>
            <w:bookmarkEnd w:id="0"/>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576</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32</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30</w:t>
            </w:r>
          </w:p>
        </w:tc>
        <w:tc>
          <w:tcPr>
            <w:tcW w:w="547"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14</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10</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p>
        </w:tc>
      </w:tr>
      <w:tr>
        <w:tblPrEx>
          <w:tblCellMar>
            <w:top w:w="15" w:type="dxa"/>
            <w:left w:w="15" w:type="dxa"/>
            <w:bottom w:w="15" w:type="dxa"/>
            <w:right w:w="15" w:type="dxa"/>
          </w:tblCellMar>
        </w:tblPrEx>
        <w:trPr>
          <w:trHeight w:val="285" w:hRule="atLeast"/>
        </w:trPr>
        <w:tc>
          <w:tcPr>
            <w:tcW w:w="433" w:type="dxa"/>
            <w:vMerge w:val="restart"/>
            <w:tcBorders>
              <w:top w:val="single" w:color="000000" w:sz="4" w:space="0"/>
              <w:left w:val="single" w:color="000000" w:sz="4" w:space="0"/>
              <w:right w:val="single" w:color="auto" w:sz="4" w:space="0"/>
            </w:tcBorders>
            <w:vAlign w:val="center"/>
          </w:tcPr>
          <w:p>
            <w:pPr>
              <w:jc w:val="center"/>
              <w:textAlignment w:val="center"/>
              <w:rPr>
                <w:rFonts w:ascii="宋体" w:hAnsi="宋体" w:cs="宋体"/>
                <w:color w:val="000000"/>
                <w:sz w:val="18"/>
                <w:szCs w:val="18"/>
              </w:rPr>
            </w:pPr>
            <w:r>
              <w:rPr>
                <w:rFonts w:hint="eastAsia" w:ascii="宋体" w:hAnsi="宋体" w:cs="宋体"/>
                <w:color w:val="000000"/>
                <w:sz w:val="18"/>
                <w:szCs w:val="18"/>
              </w:rPr>
              <w:t>专</w:t>
            </w:r>
          </w:p>
          <w:p>
            <w:pPr>
              <w:jc w:val="center"/>
              <w:textAlignment w:val="center"/>
              <w:rPr>
                <w:rFonts w:ascii="宋体" w:hAnsi="宋体" w:cs="宋体"/>
                <w:color w:val="000000"/>
                <w:sz w:val="18"/>
                <w:szCs w:val="18"/>
              </w:rPr>
            </w:pPr>
            <w:r>
              <w:rPr>
                <w:rFonts w:hint="eastAsia" w:ascii="宋体" w:hAnsi="宋体" w:cs="宋体"/>
                <w:color w:val="000000"/>
                <w:sz w:val="18"/>
                <w:szCs w:val="18"/>
              </w:rPr>
              <w:t>业</w:t>
            </w:r>
          </w:p>
          <w:p>
            <w:pPr>
              <w:jc w:val="center"/>
              <w:textAlignment w:val="center"/>
              <w:rPr>
                <w:rFonts w:ascii="宋体" w:hAnsi="宋体" w:cs="宋体"/>
                <w:color w:val="000000"/>
                <w:sz w:val="18"/>
                <w:szCs w:val="18"/>
              </w:rPr>
            </w:pPr>
            <w:r>
              <w:rPr>
                <w:rFonts w:hint="eastAsia" w:ascii="宋体" w:hAnsi="宋体" w:cs="宋体"/>
                <w:color w:val="000000"/>
                <w:sz w:val="18"/>
                <w:szCs w:val="18"/>
              </w:rPr>
              <w:t>技</w:t>
            </w:r>
          </w:p>
          <w:p>
            <w:pPr>
              <w:jc w:val="center"/>
              <w:textAlignment w:val="center"/>
              <w:rPr>
                <w:rFonts w:ascii="宋体" w:hAnsi="宋体" w:cs="宋体"/>
                <w:color w:val="000000"/>
                <w:sz w:val="18"/>
                <w:szCs w:val="18"/>
              </w:rPr>
            </w:pPr>
            <w:r>
              <w:rPr>
                <w:rFonts w:hint="eastAsia" w:ascii="宋体" w:hAnsi="宋体" w:cs="宋体"/>
                <w:color w:val="000000"/>
                <w:sz w:val="18"/>
                <w:szCs w:val="18"/>
              </w:rPr>
              <w:t>能</w:t>
            </w:r>
          </w:p>
          <w:p>
            <w:pPr>
              <w:jc w:val="center"/>
              <w:textAlignment w:val="center"/>
              <w:rPr>
                <w:rFonts w:ascii="宋体" w:hAnsi="宋体" w:cs="宋体"/>
                <w:color w:val="000000"/>
                <w:sz w:val="18"/>
                <w:szCs w:val="18"/>
              </w:rPr>
            </w:pPr>
            <w:r>
              <w:rPr>
                <w:rFonts w:hint="eastAsia" w:ascii="宋体" w:hAnsi="宋体" w:cs="宋体"/>
                <w:color w:val="000000"/>
                <w:sz w:val="18"/>
                <w:szCs w:val="18"/>
              </w:rPr>
              <w:t>课</w:t>
            </w:r>
          </w:p>
        </w:tc>
        <w:tc>
          <w:tcPr>
            <w:tcW w:w="433"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r>
              <w:rPr>
                <w:rFonts w:hint="eastAsia" w:ascii="宋体" w:hAnsi="宋体" w:cs="宋体"/>
                <w:color w:val="000000"/>
                <w:sz w:val="18"/>
                <w:szCs w:val="18"/>
              </w:rPr>
              <w:t>专</w:t>
            </w:r>
          </w:p>
          <w:p>
            <w:pPr>
              <w:jc w:val="center"/>
              <w:textAlignment w:val="center"/>
              <w:rPr>
                <w:rFonts w:ascii="宋体" w:hAnsi="宋体" w:cs="宋体"/>
                <w:color w:val="000000"/>
                <w:sz w:val="18"/>
                <w:szCs w:val="18"/>
              </w:rPr>
            </w:pPr>
            <w:r>
              <w:rPr>
                <w:rFonts w:hint="eastAsia" w:ascii="宋体" w:hAnsi="宋体" w:cs="宋体"/>
                <w:color w:val="000000"/>
                <w:sz w:val="18"/>
                <w:szCs w:val="18"/>
              </w:rPr>
              <w:t>业</w:t>
            </w:r>
          </w:p>
          <w:p>
            <w:pPr>
              <w:jc w:val="center"/>
              <w:textAlignment w:val="center"/>
              <w:rPr>
                <w:rFonts w:ascii="宋体" w:hAnsi="宋体" w:cs="宋体"/>
                <w:color w:val="000000"/>
                <w:sz w:val="18"/>
                <w:szCs w:val="18"/>
              </w:rPr>
            </w:pPr>
            <w:r>
              <w:rPr>
                <w:rFonts w:hint="eastAsia" w:ascii="宋体" w:hAnsi="宋体" w:cs="宋体"/>
                <w:color w:val="000000"/>
                <w:sz w:val="18"/>
                <w:szCs w:val="18"/>
              </w:rPr>
              <w:t>核</w:t>
            </w:r>
          </w:p>
          <w:p>
            <w:pPr>
              <w:ind w:firstLine="90" w:firstLineChars="50"/>
              <w:textAlignment w:val="center"/>
              <w:rPr>
                <w:rFonts w:ascii="宋体" w:hAnsi="宋体" w:cs="宋体"/>
                <w:color w:val="000000"/>
                <w:sz w:val="18"/>
                <w:szCs w:val="18"/>
              </w:rPr>
            </w:pPr>
            <w:r>
              <w:rPr>
                <w:rFonts w:hint="eastAsia" w:ascii="宋体" w:hAnsi="宋体" w:cs="宋体"/>
                <w:color w:val="000000"/>
                <w:sz w:val="18"/>
                <w:szCs w:val="18"/>
              </w:rPr>
              <w:t>心</w:t>
            </w:r>
          </w:p>
          <w:p>
            <w:pPr>
              <w:jc w:val="center"/>
              <w:textAlignment w:val="center"/>
              <w:rPr>
                <w:rFonts w:ascii="宋体" w:hAnsi="宋体" w:cs="宋体"/>
                <w:color w:val="000000"/>
                <w:sz w:val="18"/>
                <w:szCs w:val="18"/>
              </w:rPr>
            </w:pPr>
            <w:r>
              <w:rPr>
                <w:rFonts w:hint="eastAsia" w:ascii="宋体" w:hAnsi="宋体" w:cs="宋体"/>
                <w:color w:val="000000"/>
                <w:sz w:val="18"/>
                <w:szCs w:val="18"/>
              </w:rPr>
              <w:t>课</w:t>
            </w: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网站内容编辑（软文写作）</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54</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b/>
                <w:color w:val="000000"/>
                <w:sz w:val="18"/>
                <w:szCs w:val="18"/>
              </w:rPr>
            </w:pPr>
            <w:r>
              <w:rPr>
                <w:rFonts w:hint="eastAsia" w:ascii="宋体" w:hAnsi="宋体" w:cs="宋体"/>
                <w:b/>
                <w:color w:val="000000"/>
                <w:sz w:val="18"/>
                <w:szCs w:val="18"/>
              </w:rPr>
              <w:t>3</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b/>
                <w:color w:val="000000"/>
                <w:sz w:val="18"/>
                <w:szCs w:val="18"/>
              </w:rPr>
            </w:pPr>
            <w:r>
              <w:rPr>
                <w:rFonts w:hint="eastAsia" w:ascii="宋体" w:hAnsi="宋体" w:cs="宋体"/>
                <w:b/>
                <w:color w:val="000000"/>
                <w:sz w:val="18"/>
                <w:szCs w:val="18"/>
              </w:rPr>
              <w:t>3</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物流基础</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电子商务基础</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108</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6</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6</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6</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教室</w:t>
            </w:r>
          </w:p>
          <w:p>
            <w:pPr>
              <w:jc w:val="center"/>
              <w:rPr>
                <w:rFonts w:ascii="宋体" w:hAnsi="宋体" w:cs="宋体"/>
                <w:color w:val="000000"/>
                <w:sz w:val="18"/>
                <w:szCs w:val="18"/>
              </w:rPr>
            </w:pPr>
            <w:r>
              <w:rPr>
                <w:rFonts w:hint="eastAsia" w:ascii="宋体" w:hAnsi="宋体" w:cs="宋体"/>
                <w:color w:val="000000"/>
                <w:kern w:val="0"/>
                <w:sz w:val="18"/>
                <w:szCs w:val="18"/>
              </w:rPr>
              <w:t>一学期6-1</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电商法规</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基础会计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国际贸易实务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商品学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沟通技巧</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教室</w:t>
            </w:r>
          </w:p>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四学期（4-1）</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color w:val="000000"/>
                <w:sz w:val="18"/>
                <w:szCs w:val="18"/>
              </w:rPr>
            </w:pPr>
          </w:p>
        </w:tc>
        <w:tc>
          <w:tcPr>
            <w:tcW w:w="433"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14:textFill>
                  <w14:solidFill>
                    <w14:schemeClr w14:val="tx1"/>
                  </w14:solidFill>
                </w14:textFill>
              </w:rPr>
              <w:t>电子商务案例分析</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
                <w:color w:val="000000"/>
                <w:sz w:val="18"/>
                <w:szCs w:val="18"/>
              </w:rPr>
            </w:pPr>
            <w:r>
              <w:rPr>
                <w:rFonts w:hint="eastAsia" w:ascii="宋体" w:hAnsi="宋体" w:cs="宋体"/>
                <w:color w:val="000000"/>
                <w:kern w:val="0"/>
                <w:sz w:val="18"/>
                <w:szCs w:val="18"/>
              </w:rPr>
              <w:t>教室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textAlignment w:val="center"/>
              <w:rPr>
                <w:rFonts w:ascii="宋体" w:hAnsi="宋体" w:cs="宋体"/>
                <w:b/>
                <w:color w:val="000000"/>
                <w:sz w:val="18"/>
                <w:szCs w:val="18"/>
              </w:rPr>
            </w:pPr>
          </w:p>
        </w:tc>
        <w:tc>
          <w:tcPr>
            <w:tcW w:w="433"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b/>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专业基础课合计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666</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37</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37</w:t>
            </w:r>
          </w:p>
        </w:tc>
        <w:tc>
          <w:tcPr>
            <w:tcW w:w="547"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14</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4</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16</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417" w:hRule="atLeast"/>
        </w:trPr>
        <w:tc>
          <w:tcPr>
            <w:tcW w:w="433" w:type="dxa"/>
            <w:vMerge w:val="continue"/>
            <w:tcBorders>
              <w:left w:val="single" w:color="000000" w:sz="4" w:space="0"/>
              <w:right w:val="single" w:color="auto" w:sz="4" w:space="0"/>
            </w:tcBorders>
            <w:vAlign w:val="center"/>
          </w:tcPr>
          <w:p>
            <w:pPr>
              <w:widowControl/>
              <w:jc w:val="center"/>
              <w:textAlignment w:val="center"/>
              <w:rPr>
                <w:rFonts w:ascii="宋体" w:hAnsi="宋体" w:cs="宋体"/>
                <w:color w:val="000000"/>
                <w:sz w:val="18"/>
                <w:szCs w:val="18"/>
              </w:rPr>
            </w:pPr>
          </w:p>
        </w:tc>
        <w:tc>
          <w:tcPr>
            <w:tcW w:w="433" w:type="dxa"/>
            <w:gridSpan w:val="2"/>
            <w:vMerge w:val="restart"/>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专</w:t>
            </w:r>
          </w:p>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业（技能）</w:t>
            </w:r>
          </w:p>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方</w:t>
            </w:r>
          </w:p>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向</w:t>
            </w:r>
          </w:p>
          <w:p>
            <w:pPr>
              <w:widowControl/>
              <w:ind w:firstLine="90" w:firstLineChars="50"/>
              <w:textAlignment w:val="center"/>
              <w:rPr>
                <w:rFonts w:ascii="宋体" w:hAnsi="宋体" w:cs="宋体"/>
                <w:color w:val="000000"/>
                <w:sz w:val="18"/>
                <w:szCs w:val="18"/>
              </w:rPr>
            </w:pPr>
            <w:r>
              <w:rPr>
                <w:rFonts w:hint="eastAsia" w:ascii="宋体" w:hAnsi="宋体" w:cs="宋体"/>
                <w:color w:val="000000"/>
                <w:sz w:val="18"/>
                <w:szCs w:val="18"/>
              </w:rPr>
              <w:t>课</w:t>
            </w: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ERP</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90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sz w:val="18"/>
                <w:szCs w:val="18"/>
              </w:rPr>
              <w:t>5</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实训室</w:t>
            </w:r>
          </w:p>
        </w:tc>
      </w:tr>
      <w:tr>
        <w:tblPrEx>
          <w:tblCellMar>
            <w:top w:w="15" w:type="dxa"/>
            <w:left w:w="15" w:type="dxa"/>
            <w:bottom w:w="15" w:type="dxa"/>
            <w:right w:w="15" w:type="dxa"/>
          </w:tblCellMar>
        </w:tblPrEx>
        <w:trPr>
          <w:trHeight w:val="360"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电商物流</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360"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网店装修</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商务礼仪</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 xml:space="preserve">网络推广  </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4</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网络营销实务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90</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实训室</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三学期</w:t>
            </w:r>
          </w:p>
          <w:p>
            <w:pPr>
              <w:widowControl/>
              <w:jc w:val="left"/>
              <w:textAlignment w:val="center"/>
              <w:rPr>
                <w:rFonts w:ascii="宋体" w:hAnsi="宋体" w:cs="宋体"/>
                <w:color w:val="000000"/>
                <w:sz w:val="18"/>
                <w:szCs w:val="18"/>
              </w:rPr>
            </w:pPr>
            <w:r>
              <w:rPr>
                <w:rFonts w:hint="eastAsia" w:ascii="宋体" w:hAnsi="宋体" w:cs="宋体"/>
                <w:color w:val="000000"/>
                <w:sz w:val="18"/>
                <w:szCs w:val="18"/>
              </w:rPr>
              <w:t>（5-1）</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网店商品拍摄与图片处理</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108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网页设计与制作</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144</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8</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8</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8</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285"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HTML</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54</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3</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3</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实训室</w:t>
            </w:r>
          </w:p>
          <w:p>
            <w:pPr>
              <w:rPr>
                <w:rFonts w:ascii="宋体" w:hAnsi="宋体" w:cs="宋体"/>
                <w:color w:val="000000"/>
                <w:sz w:val="18"/>
                <w:szCs w:val="18"/>
              </w:rPr>
            </w:pPr>
            <w:r>
              <w:rPr>
                <w:rFonts w:hint="eastAsia" w:ascii="宋体" w:hAnsi="宋体" w:cs="宋体"/>
                <w:color w:val="000000"/>
                <w:sz w:val="18"/>
                <w:szCs w:val="18"/>
              </w:rPr>
              <w:t>二学期</w:t>
            </w:r>
          </w:p>
          <w:p>
            <w:pPr>
              <w:rPr>
                <w:rFonts w:ascii="宋体" w:hAnsi="宋体" w:cs="宋体"/>
                <w:color w:val="000000"/>
                <w:sz w:val="18"/>
                <w:szCs w:val="18"/>
              </w:rPr>
            </w:pPr>
            <w:r>
              <w:rPr>
                <w:rFonts w:hint="eastAsia" w:ascii="宋体" w:hAnsi="宋体" w:cs="宋体"/>
                <w:color w:val="000000"/>
                <w:sz w:val="18"/>
                <w:szCs w:val="18"/>
              </w:rPr>
              <w:t>（3-1）</w:t>
            </w:r>
          </w:p>
        </w:tc>
      </w:tr>
      <w:tr>
        <w:tblPrEx>
          <w:tblCellMar>
            <w:top w:w="15" w:type="dxa"/>
            <w:left w:w="15" w:type="dxa"/>
            <w:bottom w:w="15" w:type="dxa"/>
            <w:right w:w="15" w:type="dxa"/>
          </w:tblCellMar>
        </w:tblPrEx>
        <w:trPr>
          <w:trHeight w:val="300"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433"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cs="宋体"/>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电子商务客户服务操作实务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36</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2</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sz w:val="18"/>
                <w:szCs w:val="18"/>
              </w:rPr>
            </w:pPr>
            <w:r>
              <w:rPr>
                <w:rFonts w:hint="eastAsia" w:ascii="宋体" w:hAnsi="宋体" w:cs="宋体"/>
                <w:sz w:val="18"/>
                <w:szCs w:val="18"/>
              </w:rPr>
              <w:t>2</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18"/>
                <w:szCs w:val="18"/>
              </w:rPr>
            </w:pPr>
            <w:r>
              <w:rPr>
                <w:rFonts w:hint="eastAsia" w:ascii="宋体" w:hAnsi="宋体" w:cs="宋体"/>
                <w:sz w:val="18"/>
                <w:szCs w:val="18"/>
              </w:rPr>
              <w:t>2</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
                <w:color w:val="000000"/>
                <w:sz w:val="18"/>
                <w:szCs w:val="18"/>
              </w:rPr>
            </w:pPr>
            <w:r>
              <w:rPr>
                <w:rFonts w:hint="eastAsia" w:ascii="宋体" w:hAnsi="宋体" w:cs="宋体"/>
                <w:color w:val="000000"/>
                <w:sz w:val="18"/>
                <w:szCs w:val="18"/>
              </w:rPr>
              <w:t>实训室</w:t>
            </w:r>
          </w:p>
        </w:tc>
      </w:tr>
      <w:tr>
        <w:tblPrEx>
          <w:tblCellMar>
            <w:top w:w="15" w:type="dxa"/>
            <w:left w:w="15" w:type="dxa"/>
            <w:bottom w:w="15" w:type="dxa"/>
            <w:right w:w="15" w:type="dxa"/>
          </w:tblCellMar>
        </w:tblPrEx>
        <w:trPr>
          <w:trHeight w:val="300"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2680" w:type="dxa"/>
            <w:gridSpan w:val="3"/>
            <w:tcBorders>
              <w:left w:val="single" w:color="auto"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b/>
                <w:color w:val="000000"/>
                <w:kern w:val="0"/>
                <w:sz w:val="18"/>
                <w:szCs w:val="18"/>
              </w:rPr>
              <w:t>专业技能课合计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774</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43</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43</w:t>
            </w:r>
          </w:p>
        </w:tc>
        <w:tc>
          <w:tcPr>
            <w:tcW w:w="547"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14</w:t>
            </w: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21</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8</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300" w:hRule="atLeast"/>
        </w:trPr>
        <w:tc>
          <w:tcPr>
            <w:tcW w:w="433" w:type="dxa"/>
            <w:vMerge w:val="continue"/>
            <w:tcBorders>
              <w:left w:val="single" w:color="000000" w:sz="4" w:space="0"/>
              <w:right w:val="single" w:color="auto" w:sz="4" w:space="0"/>
            </w:tcBorders>
            <w:vAlign w:val="center"/>
          </w:tcPr>
          <w:p>
            <w:pPr>
              <w:jc w:val="center"/>
              <w:rPr>
                <w:rFonts w:ascii="宋体" w:hAnsi="宋体" w:cs="宋体"/>
                <w:color w:val="000000"/>
                <w:sz w:val="18"/>
                <w:szCs w:val="18"/>
              </w:rPr>
            </w:pPr>
          </w:p>
        </w:tc>
        <w:tc>
          <w:tcPr>
            <w:tcW w:w="2680" w:type="dxa"/>
            <w:gridSpan w:val="3"/>
            <w:vMerge w:val="restart"/>
            <w:tcBorders>
              <w:left w:val="single" w:color="auto" w:sz="4" w:space="0"/>
              <w:right w:val="single" w:color="000000" w:sz="4" w:space="0"/>
            </w:tcBorders>
            <w:vAlign w:val="center"/>
          </w:tcPr>
          <w:p>
            <w:pPr>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顶岗实习（综合实训）</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600</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30</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30</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30</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300" w:hRule="atLeast"/>
        </w:trPr>
        <w:tc>
          <w:tcPr>
            <w:tcW w:w="433" w:type="dxa"/>
            <w:vMerge w:val="continue"/>
            <w:tcBorders>
              <w:left w:val="single" w:color="000000" w:sz="4" w:space="0"/>
              <w:bottom w:val="single" w:color="000000" w:sz="4" w:space="0"/>
              <w:right w:val="single" w:color="auto" w:sz="4" w:space="0"/>
            </w:tcBorders>
            <w:vAlign w:val="center"/>
          </w:tcPr>
          <w:p>
            <w:pPr>
              <w:jc w:val="center"/>
              <w:rPr>
                <w:rFonts w:ascii="宋体" w:hAnsi="宋体" w:cs="宋体"/>
                <w:color w:val="000000"/>
                <w:sz w:val="18"/>
                <w:szCs w:val="18"/>
              </w:rPr>
            </w:pPr>
          </w:p>
        </w:tc>
        <w:tc>
          <w:tcPr>
            <w:tcW w:w="2680" w:type="dxa"/>
            <w:gridSpan w:val="3"/>
            <w:vMerge w:val="continue"/>
            <w:tcBorders>
              <w:left w:val="single" w:color="auto" w:sz="4" w:space="0"/>
              <w:bottom w:val="single" w:color="auto" w:sz="4" w:space="0"/>
              <w:right w:val="single" w:color="000000" w:sz="4" w:space="0"/>
            </w:tcBorders>
            <w:vAlign w:val="center"/>
          </w:tcPr>
          <w:p>
            <w:pPr>
              <w:widowControl/>
              <w:jc w:val="center"/>
              <w:textAlignment w:val="center"/>
              <w:rPr>
                <w:rFonts w:ascii="宋体" w:hAnsi="宋体" w:cs="宋体"/>
                <w:b/>
                <w:color w:val="000000"/>
                <w:kern w:val="0"/>
                <w:sz w:val="18"/>
                <w:szCs w:val="18"/>
              </w:rPr>
            </w:pP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600</w:t>
            </w: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30</w:t>
            </w:r>
          </w:p>
        </w:tc>
        <w:tc>
          <w:tcPr>
            <w:tcW w:w="887" w:type="dxa"/>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 w:val="18"/>
                <w:szCs w:val="18"/>
              </w:rPr>
            </w:pPr>
            <w:r>
              <w:rPr>
                <w:rFonts w:hint="eastAsia" w:ascii="宋体" w:hAnsi="宋体" w:cs="宋体"/>
                <w:color w:val="000000"/>
                <w:sz w:val="18"/>
                <w:szCs w:val="18"/>
              </w:rPr>
              <w:t>30</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30</w:t>
            </w: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330" w:hRule="atLeast"/>
        </w:trPr>
        <w:tc>
          <w:tcPr>
            <w:tcW w:w="441"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267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小计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2640</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140</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140</w:t>
            </w:r>
          </w:p>
        </w:tc>
        <w:tc>
          <w:tcPr>
            <w:tcW w:w="547"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color w:val="000000"/>
                <w:kern w:val="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
                <w:color w:val="000000"/>
                <w:sz w:val="18"/>
                <w:szCs w:val="18"/>
              </w:rPr>
            </w:pPr>
          </w:p>
        </w:tc>
      </w:tr>
      <w:tr>
        <w:tblPrEx>
          <w:tblCellMar>
            <w:top w:w="15" w:type="dxa"/>
            <w:left w:w="15" w:type="dxa"/>
            <w:bottom w:w="15" w:type="dxa"/>
            <w:right w:w="15" w:type="dxa"/>
          </w:tblCellMar>
        </w:tblPrEx>
        <w:trPr>
          <w:trHeight w:val="285" w:hRule="atLeast"/>
        </w:trPr>
        <w:tc>
          <w:tcPr>
            <w:tcW w:w="3113"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总计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3216</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172</w:t>
            </w: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172</w:t>
            </w:r>
          </w:p>
        </w:tc>
        <w:tc>
          <w:tcPr>
            <w:tcW w:w="547"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color w:val="000000"/>
                <w:kern w:val="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restart"/>
            <w:tcBorders>
              <w:top w:val="single" w:color="auto" w:sz="4" w:space="0"/>
              <w:left w:val="single" w:color="auto" w:sz="4" w:space="0"/>
              <w:right w:val="single" w:color="auto"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选修课</w:t>
            </w: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商务礼仪强化</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auto" w:sz="4" w:space="0"/>
              <w:right w:val="single" w:color="auto" w:sz="4" w:space="0"/>
            </w:tcBorders>
            <w:vAlign w:val="center"/>
          </w:tcPr>
          <w:p>
            <w:pPr>
              <w:jc w:val="center"/>
              <w:rPr>
                <w:rFonts w:ascii="宋体" w:hAnsi="宋体" w:cs="宋体"/>
                <w:b/>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ERP强化训练</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285" w:hRule="atLeast"/>
        </w:trPr>
        <w:tc>
          <w:tcPr>
            <w:tcW w:w="866" w:type="dxa"/>
            <w:gridSpan w:val="3"/>
            <w:vMerge w:val="continue"/>
            <w:tcBorders>
              <w:left w:val="single" w:color="auto" w:sz="4" w:space="0"/>
              <w:right w:val="single" w:color="auto" w:sz="4" w:space="0"/>
            </w:tcBorders>
            <w:vAlign w:val="center"/>
          </w:tcPr>
          <w:p>
            <w:pPr>
              <w:jc w:val="center"/>
              <w:rPr>
                <w:rFonts w:ascii="宋体" w:hAnsi="宋体" w:cs="宋体"/>
                <w:b/>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电子商务比赛强化</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55" w:hRule="atLeast"/>
        </w:trPr>
        <w:tc>
          <w:tcPr>
            <w:tcW w:w="866" w:type="dxa"/>
            <w:gridSpan w:val="3"/>
            <w:vMerge w:val="continue"/>
            <w:tcBorders>
              <w:left w:val="single" w:color="auto" w:sz="4" w:space="0"/>
              <w:right w:val="single" w:color="auto" w:sz="4" w:space="0"/>
            </w:tcBorders>
            <w:vAlign w:val="center"/>
          </w:tcPr>
          <w:p>
            <w:pPr>
              <w:jc w:val="center"/>
              <w:rPr>
                <w:rFonts w:ascii="宋体" w:hAnsi="宋体" w:cs="宋体"/>
                <w:b/>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center"/>
              <w:rPr>
                <w:rFonts w:ascii="宋体" w:hAnsi="宋体" w:cs="宋体"/>
                <w:color w:val="000000"/>
                <w:sz w:val="18"/>
                <w:szCs w:val="18"/>
              </w:rPr>
            </w:pPr>
            <w:r>
              <w:rPr>
                <w:rFonts w:hint="eastAsia" w:ascii="宋体" w:hAnsi="宋体" w:cs="宋体"/>
                <w:color w:val="000000"/>
                <w:sz w:val="18"/>
                <w:szCs w:val="18"/>
              </w:rPr>
              <w:t>PS强化</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55" w:hRule="atLeast"/>
        </w:trPr>
        <w:tc>
          <w:tcPr>
            <w:tcW w:w="866" w:type="dxa"/>
            <w:gridSpan w:val="3"/>
            <w:vMerge w:val="continue"/>
            <w:tcBorders>
              <w:left w:val="single" w:color="auto" w:sz="4" w:space="0"/>
              <w:bottom w:val="single" w:color="auto" w:sz="4" w:space="0"/>
              <w:right w:val="single" w:color="auto" w:sz="4" w:space="0"/>
            </w:tcBorders>
            <w:vAlign w:val="center"/>
          </w:tcPr>
          <w:p>
            <w:pPr>
              <w:jc w:val="center"/>
              <w:rPr>
                <w:rFonts w:ascii="宋体" w:hAnsi="宋体" w:cs="宋体"/>
                <w:b/>
                <w:color w:val="000000"/>
                <w:sz w:val="18"/>
                <w:szCs w:val="18"/>
              </w:rPr>
            </w:pPr>
          </w:p>
        </w:tc>
        <w:tc>
          <w:tcPr>
            <w:tcW w:w="2247"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sz w:val="18"/>
                <w:szCs w:val="18"/>
              </w:rPr>
              <w:t>小计</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72</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4</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4</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55" w:hRule="atLeast"/>
        </w:trPr>
        <w:tc>
          <w:tcPr>
            <w:tcW w:w="311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cs="宋体"/>
                <w:b/>
                <w:color w:val="000000"/>
                <w:kern w:val="0"/>
                <w:sz w:val="18"/>
                <w:szCs w:val="18"/>
              </w:rPr>
            </w:pPr>
            <w:r>
              <w:rPr>
                <w:rFonts w:hint="eastAsia" w:ascii="宋体" w:hAnsi="宋体" w:cs="宋体"/>
                <w:b/>
                <w:color w:val="000000"/>
                <w:kern w:val="0"/>
                <w:sz w:val="18"/>
                <w:szCs w:val="18"/>
              </w:rPr>
              <w:t>合计</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3288</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176</w:t>
            </w: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color w:val="000000"/>
                <w:sz w:val="18"/>
                <w:szCs w:val="18"/>
              </w:rPr>
            </w:pPr>
            <w:r>
              <w:rPr>
                <w:rFonts w:hint="eastAsia" w:ascii="宋体" w:hAnsi="宋体" w:cs="宋体"/>
                <w:b/>
                <w:color w:val="000000"/>
                <w:sz w:val="18"/>
                <w:szCs w:val="18"/>
              </w:rPr>
              <w:t>176</w:t>
            </w: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r>
        <w:tblPrEx>
          <w:tblCellMar>
            <w:top w:w="15" w:type="dxa"/>
            <w:left w:w="15" w:type="dxa"/>
            <w:bottom w:w="15" w:type="dxa"/>
            <w:right w:w="15" w:type="dxa"/>
          </w:tblCellMar>
        </w:tblPrEx>
        <w:trPr>
          <w:trHeight w:val="55" w:hRule="atLeast"/>
        </w:trPr>
        <w:tc>
          <w:tcPr>
            <w:tcW w:w="311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备     注</w:t>
            </w:r>
          </w:p>
        </w:tc>
        <w:tc>
          <w:tcPr>
            <w:tcW w:w="8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88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54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42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p>
        </w:tc>
        <w:tc>
          <w:tcPr>
            <w:tcW w:w="729"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p>
        </w:tc>
      </w:tr>
    </w:tbl>
    <w:p>
      <w:pPr>
        <w:rPr>
          <w:rFonts w:asciiTheme="minorEastAsia" w:hAnsiTheme="minorEastAsia" w:eastAsiaTheme="minorEastAsia"/>
          <w:sz w:val="24"/>
        </w:rPr>
      </w:pPr>
      <w:r>
        <w:rPr>
          <w:rFonts w:hint="eastAsia" w:asciiTheme="minorEastAsia" w:hAnsiTheme="minorEastAsia" w:eastAsiaTheme="minorEastAsia"/>
          <w:b/>
          <w:sz w:val="24"/>
        </w:rPr>
        <w:t>说明：</w:t>
      </w:r>
    </w:p>
    <w:p>
      <w:pPr>
        <w:pStyle w:val="10"/>
        <w:numPr>
          <w:ilvl w:val="0"/>
          <w:numId w:val="6"/>
        </w:numPr>
        <w:ind w:firstLineChars="0"/>
        <w:rPr>
          <w:rFonts w:asciiTheme="minorEastAsia" w:hAnsiTheme="minorEastAsia" w:eastAsiaTheme="minorEastAsia"/>
          <w:sz w:val="24"/>
        </w:rPr>
      </w:pPr>
      <w:r>
        <w:rPr>
          <w:rFonts w:hint="eastAsia" w:asciiTheme="minorEastAsia" w:hAnsiTheme="minorEastAsia" w:eastAsiaTheme="minorEastAsia"/>
          <w:sz w:val="24"/>
        </w:rPr>
        <w:t>本表不包含军训、社会实践、入学教育、毕业教育等教学安排，学校可根据实际情况灵活设置。</w:t>
      </w:r>
    </w:p>
    <w:p>
      <w:pPr>
        <w:spacing w:line="360" w:lineRule="exact"/>
        <w:rPr>
          <w:rFonts w:asciiTheme="majorEastAsia" w:hAnsiTheme="majorEastAsia" w:eastAsiaTheme="majorEastAsia"/>
          <w:b/>
          <w:color w:val="000000"/>
          <w:sz w:val="28"/>
          <w:szCs w:val="28"/>
        </w:rPr>
      </w:pPr>
    </w:p>
    <w:p>
      <w:pPr>
        <w:spacing w:line="360" w:lineRule="exact"/>
        <w:rPr>
          <w:rFonts w:asciiTheme="majorEastAsia" w:hAnsiTheme="majorEastAsia" w:eastAsiaTheme="majorEastAsia"/>
          <w:b/>
          <w:color w:val="000000"/>
          <w:sz w:val="28"/>
          <w:szCs w:val="28"/>
        </w:rPr>
      </w:pPr>
      <w:r>
        <w:rPr>
          <w:rFonts w:hint="eastAsia" w:asciiTheme="majorEastAsia" w:hAnsiTheme="majorEastAsia" w:eastAsiaTheme="majorEastAsia"/>
          <w:b/>
          <w:color w:val="000000"/>
          <w:sz w:val="28"/>
          <w:szCs w:val="28"/>
        </w:rPr>
        <w:t>十一、教学实施</w:t>
      </w:r>
    </w:p>
    <w:p>
      <w:pPr>
        <w:spacing w:line="360" w:lineRule="exact"/>
        <w:ind w:firstLine="570"/>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本专业教学安排坚持学历教育与岗位培训相融合、职业能力与职业素质兼顾，结合各地区办学特点，系统的设计人才培养方案。</w:t>
      </w:r>
    </w:p>
    <w:p>
      <w:pPr>
        <w:pStyle w:val="10"/>
        <w:numPr>
          <w:ilvl w:val="0"/>
          <w:numId w:val="7"/>
        </w:numPr>
        <w:spacing w:line="360" w:lineRule="exact"/>
        <w:ind w:firstLineChars="0"/>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公共基础课</w:t>
      </w:r>
    </w:p>
    <w:p>
      <w:pPr>
        <w:spacing w:line="360" w:lineRule="exact"/>
        <w:ind w:firstLine="570"/>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课程教学与培养目标相适应，注重教学方法改革，部分单元可考虑与专业结合，加强与学生生活、专业和社会实践联系，为学生可持续发展奠定基础。</w:t>
      </w:r>
    </w:p>
    <w:p>
      <w:pPr>
        <w:pStyle w:val="10"/>
        <w:numPr>
          <w:ilvl w:val="0"/>
          <w:numId w:val="7"/>
        </w:numPr>
        <w:spacing w:line="360" w:lineRule="exact"/>
        <w:ind w:firstLineChars="0"/>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专业技能课</w:t>
      </w:r>
    </w:p>
    <w:p>
      <w:pPr>
        <w:spacing w:line="360" w:lineRule="exact"/>
        <w:ind w:firstLine="560" w:firstLineChars="200"/>
        <w:jc w:val="left"/>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专业技能课教学以行动导向理念为指导，校企共同开发教学项目，通过重复步骤、不重复内容，完成由简单到复杂的企业实际案例学习性工作任务。按照理论与实践一体化的要求组织教学，采用项目教学法、任务驱动法、情景教学法、案例教学法。注重实践操作，运用小组合作、成果展示、技能比赛等教学方式展开教学活动，教学中应注重情感态度和职业道德的培养，将文化基础课相关知识与专业训练相融合，注重知识的应用。应突出学生的主体作用，使学生在“做中学，学中做”的工作过程体验中完成学习任务，培养学生分析问题、解决问题的能力。</w:t>
      </w:r>
    </w:p>
    <w:p>
      <w:pPr>
        <w:spacing w:line="360" w:lineRule="exact"/>
        <w:rPr>
          <w:rFonts w:asciiTheme="majorEastAsia" w:hAnsiTheme="majorEastAsia" w:eastAsiaTheme="majorEastAsia"/>
          <w:b/>
          <w:color w:val="000000"/>
          <w:sz w:val="28"/>
          <w:szCs w:val="28"/>
        </w:rPr>
      </w:pPr>
    </w:p>
    <w:p>
      <w:pPr>
        <w:spacing w:line="360" w:lineRule="exact"/>
        <w:rPr>
          <w:rFonts w:asciiTheme="majorEastAsia" w:hAnsiTheme="majorEastAsia" w:eastAsiaTheme="majorEastAsia"/>
          <w:b/>
          <w:color w:val="000000"/>
          <w:sz w:val="28"/>
          <w:szCs w:val="28"/>
        </w:rPr>
      </w:pPr>
      <w:r>
        <w:rPr>
          <w:rFonts w:hint="eastAsia" w:asciiTheme="majorEastAsia" w:hAnsiTheme="majorEastAsia" w:eastAsiaTheme="majorEastAsia"/>
          <w:b/>
          <w:color w:val="000000"/>
          <w:sz w:val="28"/>
          <w:szCs w:val="28"/>
        </w:rPr>
        <w:t>十二、实习实训环境</w:t>
      </w:r>
    </w:p>
    <w:p>
      <w:pPr>
        <w:spacing w:line="360" w:lineRule="exact"/>
        <w:ind w:firstLine="560" w:firstLineChars="200"/>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本专业已配备校内实习实训室，包括电子商务实训机房、商品拍摄与图片处理机房和校外实训基地。</w:t>
      </w:r>
    </w:p>
    <w:p>
      <w:pPr>
        <w:spacing w:line="360" w:lineRule="exact"/>
        <w:ind w:firstLine="560" w:firstLineChars="200"/>
        <w:rPr>
          <w:rFonts w:asciiTheme="majorEastAsia" w:hAnsiTheme="majorEastAsia" w:eastAsiaTheme="majorEastAsia"/>
          <w:color w:val="000000"/>
          <w:sz w:val="28"/>
          <w:szCs w:val="28"/>
        </w:rPr>
      </w:pPr>
    </w:p>
    <w:p>
      <w:pPr>
        <w:spacing w:line="360" w:lineRule="exact"/>
        <w:rPr>
          <w:rFonts w:asciiTheme="majorEastAsia" w:hAnsiTheme="majorEastAsia" w:eastAsiaTheme="majorEastAsia"/>
          <w:b/>
          <w:color w:val="000000"/>
          <w:sz w:val="28"/>
          <w:szCs w:val="28"/>
        </w:rPr>
      </w:pPr>
      <w:r>
        <w:rPr>
          <w:rFonts w:hint="eastAsia" w:asciiTheme="majorEastAsia" w:hAnsiTheme="majorEastAsia" w:eastAsiaTheme="majorEastAsia"/>
          <w:b/>
          <w:color w:val="000000"/>
          <w:sz w:val="28"/>
          <w:szCs w:val="28"/>
        </w:rPr>
        <w:t>十三、综合实习实训、顶岗实习要求、考核方式及成绩评定</w:t>
      </w:r>
    </w:p>
    <w:p>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综合实训环节由专业见习、顶岗实习和毕业作业三部分构成。专业见习，主要是结合电子商务专业涉及的内容，安排学生到相关企业见习或参观，了解电子商务的基本流程，增加感性认识。顶岗实习，主要是结合所学专业，安排学生到相关企业进行有关岗位的上岗综合实习，增强从事电子商务工作的实际操作能力。毕业作业主要是考察学生运用所学知识，分析和解决实际问题的能力。 </w:t>
      </w:r>
    </w:p>
    <w:p>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顶岗实习安排在第5、6学期。通过顶岗实习使学生在专业实践中学会分析和解决电子商务各种专业方向的业务问题，实习期间应进行实践调研和资料搜集工作，为撰写实习报告或毕业作业做好准备。</w:t>
      </w:r>
    </w:p>
    <w:p>
      <w:pPr>
        <w:spacing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顶岗实习应有实习方案、实习管理规定和实习指导教师。实习结束后要完成实习报告或毕业作业的撰写、实习鉴定等工作。</w:t>
      </w:r>
    </w:p>
    <w:p>
      <w:pPr>
        <w:spacing w:line="360" w:lineRule="exact"/>
        <w:rPr>
          <w:rFonts w:asciiTheme="minorEastAsia" w:hAnsiTheme="minorEastAsia" w:eastAsiaTheme="minorEastAsia"/>
          <w:b/>
          <w:color w:val="000000"/>
          <w:sz w:val="28"/>
          <w:szCs w:val="28"/>
        </w:rPr>
      </w:pPr>
    </w:p>
    <w:p>
      <w:pPr>
        <w:spacing w:line="360" w:lineRule="exact"/>
        <w:rPr>
          <w:rFonts w:asciiTheme="minorEastAsia" w:hAnsiTheme="minorEastAsia" w:eastAsiaTheme="minorEastAsia"/>
          <w:b/>
          <w:color w:val="000000"/>
          <w:sz w:val="28"/>
          <w:szCs w:val="28"/>
        </w:rPr>
      </w:pPr>
    </w:p>
    <w:p>
      <w:pPr>
        <w:spacing w:line="360" w:lineRule="exact"/>
        <w:rPr>
          <w:rFonts w:asciiTheme="minorEastAsia" w:hAnsiTheme="minorEastAsia" w:eastAsiaTheme="minorEastAsia"/>
          <w:b/>
          <w:color w:val="000000"/>
          <w:sz w:val="28"/>
          <w:szCs w:val="28"/>
        </w:rPr>
      </w:pPr>
    </w:p>
    <w:tbl>
      <w:tblPr>
        <w:tblStyle w:val="5"/>
        <w:tblpPr w:leftFromText="180" w:rightFromText="180" w:vertAnchor="text" w:horzAnchor="margin" w:tblpY="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294"/>
        <w:gridCol w:w="3824"/>
        <w:gridCol w:w="886"/>
        <w:gridCol w:w="896"/>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vAlign w:val="center"/>
          </w:tcPr>
          <w:p>
            <w:pPr>
              <w:spacing w:line="400" w:lineRule="exact"/>
              <w:rPr>
                <w:rFonts w:asciiTheme="minorEastAsia" w:hAnsiTheme="minorEastAsia" w:eastAsiaTheme="minorEastAsia"/>
                <w:color w:val="000000"/>
                <w:sz w:val="24"/>
              </w:rPr>
            </w:pPr>
          </w:p>
        </w:tc>
        <w:tc>
          <w:tcPr>
            <w:tcW w:w="1294" w:type="dxa"/>
            <w:vAlign w:val="center"/>
          </w:tcPr>
          <w:p>
            <w:pPr>
              <w:spacing w:line="4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评价内容</w:t>
            </w:r>
          </w:p>
        </w:tc>
        <w:tc>
          <w:tcPr>
            <w:tcW w:w="3824" w:type="dxa"/>
            <w:vAlign w:val="center"/>
          </w:tcPr>
          <w:p>
            <w:pPr>
              <w:spacing w:line="4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具体要求</w:t>
            </w:r>
          </w:p>
        </w:tc>
        <w:tc>
          <w:tcPr>
            <w:tcW w:w="886" w:type="dxa"/>
            <w:vAlign w:val="center"/>
          </w:tcPr>
          <w:p>
            <w:pPr>
              <w:spacing w:line="4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分数</w:t>
            </w:r>
          </w:p>
        </w:tc>
        <w:tc>
          <w:tcPr>
            <w:tcW w:w="896" w:type="dxa"/>
            <w:vAlign w:val="center"/>
          </w:tcPr>
          <w:p>
            <w:pPr>
              <w:spacing w:line="4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比率</w:t>
            </w:r>
          </w:p>
        </w:tc>
        <w:tc>
          <w:tcPr>
            <w:tcW w:w="1054" w:type="dxa"/>
            <w:vAlign w:val="center"/>
          </w:tcPr>
          <w:p>
            <w:pPr>
              <w:spacing w:line="40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68"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w:t>
            </w:r>
          </w:p>
        </w:tc>
        <w:tc>
          <w:tcPr>
            <w:tcW w:w="1294"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出 勤</w:t>
            </w:r>
          </w:p>
        </w:tc>
        <w:tc>
          <w:tcPr>
            <w:tcW w:w="3824" w:type="dxa"/>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出勤情况：按时出勤。</w:t>
            </w:r>
          </w:p>
        </w:tc>
        <w:tc>
          <w:tcPr>
            <w:tcW w:w="88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5</w:t>
            </w:r>
          </w:p>
        </w:tc>
        <w:tc>
          <w:tcPr>
            <w:tcW w:w="896"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10％</w:t>
            </w:r>
          </w:p>
        </w:tc>
        <w:tc>
          <w:tcPr>
            <w:tcW w:w="1054" w:type="dxa"/>
            <w:vMerge w:val="restart"/>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568" w:type="dxa"/>
            <w:vMerge w:val="continue"/>
            <w:vAlign w:val="center"/>
          </w:tcPr>
          <w:p>
            <w:pPr>
              <w:spacing w:line="260" w:lineRule="exact"/>
              <w:jc w:val="center"/>
              <w:rPr>
                <w:rFonts w:asciiTheme="minorEastAsia" w:hAnsiTheme="minorEastAsia" w:eastAsiaTheme="minorEastAsia"/>
                <w:color w:val="000000"/>
                <w:sz w:val="24"/>
              </w:rPr>
            </w:pPr>
          </w:p>
        </w:tc>
        <w:tc>
          <w:tcPr>
            <w:tcW w:w="1294" w:type="dxa"/>
            <w:vMerge w:val="continue"/>
            <w:vAlign w:val="center"/>
          </w:tcPr>
          <w:p>
            <w:pPr>
              <w:spacing w:line="260" w:lineRule="exact"/>
              <w:jc w:val="center"/>
              <w:rPr>
                <w:rFonts w:asciiTheme="minorEastAsia" w:hAnsiTheme="minorEastAsia" w:eastAsiaTheme="minorEastAsia"/>
                <w:color w:val="000000"/>
                <w:sz w:val="24"/>
              </w:rPr>
            </w:pPr>
          </w:p>
        </w:tc>
        <w:tc>
          <w:tcPr>
            <w:tcW w:w="3824" w:type="dxa"/>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 xml:space="preserve">道德素质：遵守纪律,有良好的职业操守。 </w:t>
            </w:r>
          </w:p>
        </w:tc>
        <w:tc>
          <w:tcPr>
            <w:tcW w:w="88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5</w:t>
            </w:r>
          </w:p>
        </w:tc>
        <w:tc>
          <w:tcPr>
            <w:tcW w:w="896" w:type="dxa"/>
            <w:vMerge w:val="continue"/>
            <w:vAlign w:val="center"/>
          </w:tcPr>
          <w:p>
            <w:pPr>
              <w:spacing w:line="260" w:lineRule="exact"/>
              <w:jc w:val="center"/>
              <w:rPr>
                <w:rFonts w:asciiTheme="minorEastAsia" w:hAnsiTheme="minorEastAsia" w:eastAsiaTheme="minorEastAsia"/>
                <w:color w:val="000000"/>
                <w:sz w:val="24"/>
              </w:rPr>
            </w:pPr>
          </w:p>
        </w:tc>
        <w:tc>
          <w:tcPr>
            <w:tcW w:w="1054" w:type="dxa"/>
            <w:vMerge w:val="continue"/>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568"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2</w:t>
            </w:r>
          </w:p>
        </w:tc>
        <w:tc>
          <w:tcPr>
            <w:tcW w:w="1294"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平时表现</w:t>
            </w:r>
          </w:p>
        </w:tc>
        <w:tc>
          <w:tcPr>
            <w:tcW w:w="3824" w:type="dxa"/>
            <w:vAlign w:val="center"/>
          </w:tcPr>
          <w:p>
            <w:pPr>
              <w:spacing w:line="24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学习主动性：能积极主动学习,主动向企业技术人员或指导老师请教实习中的疑问。</w:t>
            </w:r>
          </w:p>
        </w:tc>
        <w:tc>
          <w:tcPr>
            <w:tcW w:w="886" w:type="dxa"/>
            <w:vAlign w:val="center"/>
          </w:tcPr>
          <w:p>
            <w:pPr>
              <w:spacing w:line="2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10</w:t>
            </w:r>
          </w:p>
        </w:tc>
        <w:tc>
          <w:tcPr>
            <w:tcW w:w="896" w:type="dxa"/>
            <w:vMerge w:val="restart"/>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60％</w:t>
            </w:r>
          </w:p>
        </w:tc>
        <w:tc>
          <w:tcPr>
            <w:tcW w:w="1054" w:type="dxa"/>
            <w:vMerge w:val="restart"/>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568" w:type="dxa"/>
            <w:vMerge w:val="continue"/>
            <w:vAlign w:val="center"/>
          </w:tcPr>
          <w:p>
            <w:pPr>
              <w:spacing w:line="260" w:lineRule="exact"/>
              <w:rPr>
                <w:rFonts w:asciiTheme="minorEastAsia" w:hAnsiTheme="minorEastAsia" w:eastAsiaTheme="minorEastAsia"/>
                <w:color w:val="000000"/>
                <w:sz w:val="24"/>
              </w:rPr>
            </w:pPr>
          </w:p>
        </w:tc>
        <w:tc>
          <w:tcPr>
            <w:tcW w:w="1294" w:type="dxa"/>
            <w:vMerge w:val="continue"/>
            <w:vAlign w:val="center"/>
          </w:tcPr>
          <w:p>
            <w:pPr>
              <w:spacing w:line="260" w:lineRule="exact"/>
              <w:rPr>
                <w:rFonts w:asciiTheme="minorEastAsia" w:hAnsiTheme="minorEastAsia" w:eastAsiaTheme="minorEastAsia"/>
                <w:color w:val="000000"/>
                <w:sz w:val="24"/>
              </w:rPr>
            </w:pPr>
          </w:p>
        </w:tc>
        <w:tc>
          <w:tcPr>
            <w:tcW w:w="3824" w:type="dxa"/>
            <w:vAlign w:val="center"/>
          </w:tcPr>
          <w:p>
            <w:pPr>
              <w:spacing w:line="24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团队协作精神：实习中有集体意识,能很好地与企业同事合作,受到实习单位的好评。</w:t>
            </w:r>
          </w:p>
        </w:tc>
        <w:tc>
          <w:tcPr>
            <w:tcW w:w="886" w:type="dxa"/>
            <w:vAlign w:val="center"/>
          </w:tcPr>
          <w:p>
            <w:pPr>
              <w:spacing w:line="2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5</w:t>
            </w:r>
          </w:p>
        </w:tc>
        <w:tc>
          <w:tcPr>
            <w:tcW w:w="896" w:type="dxa"/>
            <w:vMerge w:val="continue"/>
            <w:vAlign w:val="center"/>
          </w:tcPr>
          <w:p>
            <w:pPr>
              <w:spacing w:line="260" w:lineRule="exact"/>
              <w:jc w:val="center"/>
              <w:rPr>
                <w:rFonts w:asciiTheme="minorEastAsia" w:hAnsiTheme="minorEastAsia" w:eastAsiaTheme="minorEastAsia"/>
                <w:color w:val="000000"/>
                <w:sz w:val="24"/>
              </w:rPr>
            </w:pPr>
          </w:p>
        </w:tc>
        <w:tc>
          <w:tcPr>
            <w:tcW w:w="1054" w:type="dxa"/>
            <w:vMerge w:val="continue"/>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568" w:type="dxa"/>
            <w:vMerge w:val="continue"/>
            <w:vAlign w:val="center"/>
          </w:tcPr>
          <w:p>
            <w:pPr>
              <w:spacing w:line="260" w:lineRule="exact"/>
              <w:rPr>
                <w:rFonts w:asciiTheme="minorEastAsia" w:hAnsiTheme="minorEastAsia" w:eastAsiaTheme="minorEastAsia"/>
                <w:color w:val="000000"/>
                <w:sz w:val="24"/>
              </w:rPr>
            </w:pPr>
          </w:p>
        </w:tc>
        <w:tc>
          <w:tcPr>
            <w:tcW w:w="1294" w:type="dxa"/>
            <w:vMerge w:val="continue"/>
            <w:vAlign w:val="center"/>
          </w:tcPr>
          <w:p>
            <w:pPr>
              <w:spacing w:line="260" w:lineRule="exact"/>
              <w:rPr>
                <w:rFonts w:asciiTheme="minorEastAsia" w:hAnsiTheme="minorEastAsia" w:eastAsiaTheme="minorEastAsia"/>
                <w:color w:val="000000"/>
                <w:sz w:val="24"/>
              </w:rPr>
            </w:pPr>
          </w:p>
        </w:tc>
        <w:tc>
          <w:tcPr>
            <w:tcW w:w="3824" w:type="dxa"/>
            <w:vAlign w:val="center"/>
          </w:tcPr>
          <w:p>
            <w:pPr>
              <w:spacing w:line="24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创新能力：在实习中提出过好的建议、方法、技术革新等方面被企业采纳。</w:t>
            </w:r>
          </w:p>
        </w:tc>
        <w:tc>
          <w:tcPr>
            <w:tcW w:w="886" w:type="dxa"/>
            <w:vAlign w:val="center"/>
          </w:tcPr>
          <w:p>
            <w:pPr>
              <w:spacing w:line="24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15</w:t>
            </w:r>
          </w:p>
        </w:tc>
        <w:tc>
          <w:tcPr>
            <w:tcW w:w="896" w:type="dxa"/>
            <w:vMerge w:val="continue"/>
            <w:vAlign w:val="center"/>
          </w:tcPr>
          <w:p>
            <w:pPr>
              <w:spacing w:line="260" w:lineRule="exact"/>
              <w:jc w:val="center"/>
              <w:rPr>
                <w:rFonts w:asciiTheme="minorEastAsia" w:hAnsiTheme="minorEastAsia" w:eastAsiaTheme="minorEastAsia"/>
                <w:color w:val="000000"/>
                <w:sz w:val="24"/>
              </w:rPr>
            </w:pPr>
          </w:p>
        </w:tc>
        <w:tc>
          <w:tcPr>
            <w:tcW w:w="1054" w:type="dxa"/>
            <w:vMerge w:val="continue"/>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568" w:type="dxa"/>
            <w:vMerge w:val="continue"/>
            <w:vAlign w:val="center"/>
          </w:tcPr>
          <w:p>
            <w:pPr>
              <w:spacing w:line="260" w:lineRule="exact"/>
              <w:rPr>
                <w:rFonts w:asciiTheme="minorEastAsia" w:hAnsiTheme="minorEastAsia" w:eastAsiaTheme="minorEastAsia"/>
                <w:color w:val="000000"/>
                <w:sz w:val="24"/>
              </w:rPr>
            </w:pPr>
          </w:p>
        </w:tc>
        <w:tc>
          <w:tcPr>
            <w:tcW w:w="1294" w:type="dxa"/>
            <w:vMerge w:val="continue"/>
            <w:vAlign w:val="center"/>
          </w:tcPr>
          <w:p>
            <w:pPr>
              <w:spacing w:line="260" w:lineRule="exact"/>
              <w:rPr>
                <w:rFonts w:asciiTheme="minorEastAsia" w:hAnsiTheme="minorEastAsia" w:eastAsiaTheme="minorEastAsia"/>
                <w:color w:val="000000"/>
                <w:sz w:val="24"/>
              </w:rPr>
            </w:pPr>
          </w:p>
        </w:tc>
        <w:tc>
          <w:tcPr>
            <w:tcW w:w="3824" w:type="dxa"/>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企业反馈的实习表现：根据企业鉴定情况而定。</w:t>
            </w:r>
          </w:p>
        </w:tc>
        <w:tc>
          <w:tcPr>
            <w:tcW w:w="88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20</w:t>
            </w:r>
          </w:p>
        </w:tc>
        <w:tc>
          <w:tcPr>
            <w:tcW w:w="896" w:type="dxa"/>
            <w:vMerge w:val="continue"/>
            <w:vAlign w:val="center"/>
          </w:tcPr>
          <w:p>
            <w:pPr>
              <w:spacing w:line="260" w:lineRule="exact"/>
              <w:jc w:val="center"/>
              <w:rPr>
                <w:rFonts w:asciiTheme="minorEastAsia" w:hAnsiTheme="minorEastAsia" w:eastAsiaTheme="minorEastAsia"/>
                <w:color w:val="000000"/>
                <w:sz w:val="24"/>
              </w:rPr>
            </w:pPr>
          </w:p>
        </w:tc>
        <w:tc>
          <w:tcPr>
            <w:tcW w:w="1054" w:type="dxa"/>
            <w:vMerge w:val="continue"/>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68"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w:t>
            </w:r>
          </w:p>
        </w:tc>
        <w:tc>
          <w:tcPr>
            <w:tcW w:w="1294" w:type="dxa"/>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实习报告</w:t>
            </w:r>
          </w:p>
        </w:tc>
        <w:tc>
          <w:tcPr>
            <w:tcW w:w="3824" w:type="dxa"/>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根据学生实际情况打分。</w:t>
            </w:r>
          </w:p>
        </w:tc>
        <w:tc>
          <w:tcPr>
            <w:tcW w:w="88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30</w:t>
            </w:r>
          </w:p>
        </w:tc>
        <w:tc>
          <w:tcPr>
            <w:tcW w:w="89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30％</w:t>
            </w:r>
          </w:p>
        </w:tc>
        <w:tc>
          <w:tcPr>
            <w:tcW w:w="1054" w:type="dxa"/>
            <w:vAlign w:val="center"/>
          </w:tcPr>
          <w:p>
            <w:pPr>
              <w:spacing w:line="260" w:lineRule="exact"/>
              <w:rPr>
                <w:rFonts w:asciiTheme="minorEastAsia" w:hAnsiTheme="minorEastAsia" w:eastAsiaTheme="minorEastAsia"/>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686" w:type="dxa"/>
            <w:gridSpan w:val="3"/>
            <w:vAlign w:val="center"/>
          </w:tcPr>
          <w:p>
            <w:pPr>
              <w:spacing w:line="260" w:lineRule="exact"/>
              <w:rPr>
                <w:rFonts w:asciiTheme="minorEastAsia" w:hAnsiTheme="minorEastAsia" w:eastAsiaTheme="minorEastAsia"/>
                <w:color w:val="000000"/>
                <w:sz w:val="24"/>
              </w:rPr>
            </w:pPr>
            <w:r>
              <w:rPr>
                <w:rFonts w:hint="eastAsia" w:asciiTheme="minorEastAsia" w:hAnsiTheme="minorEastAsia" w:eastAsiaTheme="minorEastAsia"/>
                <w:color w:val="000000"/>
                <w:sz w:val="24"/>
              </w:rPr>
              <w:t>总计</w:t>
            </w:r>
          </w:p>
        </w:tc>
        <w:tc>
          <w:tcPr>
            <w:tcW w:w="88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100</w:t>
            </w:r>
          </w:p>
        </w:tc>
        <w:tc>
          <w:tcPr>
            <w:tcW w:w="896" w:type="dxa"/>
            <w:vAlign w:val="center"/>
          </w:tcPr>
          <w:p>
            <w:pPr>
              <w:spacing w:line="260" w:lineRule="exact"/>
              <w:jc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100％</w:t>
            </w:r>
          </w:p>
        </w:tc>
        <w:tc>
          <w:tcPr>
            <w:tcW w:w="1054" w:type="dxa"/>
            <w:vAlign w:val="center"/>
          </w:tcPr>
          <w:p>
            <w:pPr>
              <w:spacing w:line="260" w:lineRule="exact"/>
              <w:rPr>
                <w:rFonts w:asciiTheme="minorEastAsia" w:hAnsiTheme="minorEastAsia" w:eastAsiaTheme="minorEastAsia"/>
                <w:color w:val="000000"/>
                <w:sz w:val="24"/>
              </w:rPr>
            </w:pPr>
          </w:p>
        </w:tc>
      </w:tr>
    </w:tbl>
    <w:p>
      <w:pPr>
        <w:widowControl/>
        <w:jc w:val="left"/>
        <w:rPr>
          <w:rFonts w:ascii="宋体" w:hAnsi="宋体"/>
          <w:b/>
          <w:sz w:val="28"/>
          <w:szCs w:val="28"/>
        </w:rPr>
      </w:pPr>
    </w:p>
    <w:p>
      <w:pPr>
        <w:widowControl/>
        <w:jc w:val="left"/>
        <w:rPr>
          <w:rFonts w:ascii="宋体" w:hAnsi="宋体"/>
          <w:b/>
          <w:sz w:val="28"/>
          <w:szCs w:val="28"/>
        </w:rPr>
      </w:pPr>
      <w:r>
        <w:rPr>
          <w:rFonts w:hint="eastAsia" w:ascii="宋体" w:hAnsi="宋体"/>
          <w:b/>
          <w:sz w:val="28"/>
          <w:szCs w:val="28"/>
        </w:rPr>
        <w:t>十四、</w:t>
      </w:r>
      <w:r>
        <w:rPr>
          <w:rFonts w:ascii="宋体" w:hAnsi="宋体"/>
          <w:b/>
          <w:sz w:val="28"/>
          <w:szCs w:val="28"/>
        </w:rPr>
        <w:t>教学计划的特点</w:t>
      </w:r>
    </w:p>
    <w:p>
      <w:pPr>
        <w:widowControl/>
        <w:spacing w:line="360" w:lineRule="auto"/>
        <w:jc w:val="left"/>
        <w:rPr>
          <w:rFonts w:ascii="宋体" w:hAnsi="宋体"/>
          <w:sz w:val="28"/>
          <w:szCs w:val="28"/>
        </w:rPr>
      </w:pPr>
      <w:r>
        <w:rPr>
          <w:rFonts w:ascii="宋体" w:hAnsi="宋体"/>
          <w:sz w:val="28"/>
          <w:szCs w:val="28"/>
        </w:rPr>
        <w:t>1.专业培养目标具体而明确；</w:t>
      </w:r>
    </w:p>
    <w:p>
      <w:pPr>
        <w:widowControl/>
        <w:spacing w:line="360" w:lineRule="auto"/>
        <w:jc w:val="left"/>
        <w:rPr>
          <w:rFonts w:ascii="宋体" w:hAnsi="宋体"/>
          <w:sz w:val="28"/>
          <w:szCs w:val="28"/>
        </w:rPr>
      </w:pPr>
      <w:r>
        <w:rPr>
          <w:rFonts w:ascii="宋体" w:hAnsi="宋体"/>
          <w:sz w:val="28"/>
          <w:szCs w:val="28"/>
        </w:rPr>
        <w:t>2.人才培养规格清晰，知识、能力、素质结构合理；</w:t>
      </w:r>
    </w:p>
    <w:p>
      <w:pPr>
        <w:rPr>
          <w:rFonts w:ascii="宋体" w:hAnsi="宋体"/>
          <w:sz w:val="28"/>
          <w:szCs w:val="28"/>
        </w:rPr>
      </w:pPr>
      <w:r>
        <w:rPr>
          <w:rFonts w:ascii="宋体" w:hAnsi="宋体"/>
          <w:sz w:val="28"/>
          <w:szCs w:val="28"/>
        </w:rPr>
        <w:t>3.课程设置突出应用性，密切了与现行物流企业业务环节的关联。</w:t>
      </w:r>
    </w:p>
    <w:p>
      <w:pPr>
        <w:rPr>
          <w:rFonts w:asciiTheme="majorEastAsia" w:hAnsiTheme="majorEastAsia" w:eastAsiaTheme="majorEastAsia"/>
          <w:b/>
          <w:sz w:val="28"/>
          <w:szCs w:val="28"/>
        </w:rPr>
      </w:pPr>
    </w:p>
    <w:p>
      <w:pPr>
        <w:rPr>
          <w:rFonts w:asciiTheme="majorEastAsia" w:hAnsiTheme="majorEastAsia" w:eastAsiaTheme="majorEastAsia"/>
          <w:b/>
          <w:sz w:val="28"/>
          <w:szCs w:val="28"/>
        </w:rPr>
      </w:pPr>
      <w:r>
        <w:rPr>
          <w:rFonts w:hint="eastAsia" w:asciiTheme="majorEastAsia" w:hAnsiTheme="majorEastAsia" w:eastAsiaTheme="majorEastAsia"/>
          <w:b/>
          <w:sz w:val="28"/>
          <w:szCs w:val="28"/>
        </w:rPr>
        <w:t>十五、专业教师任职资格</w:t>
      </w:r>
    </w:p>
    <w:p>
      <w:pPr>
        <w:rPr>
          <w:rFonts w:asciiTheme="minorEastAsia" w:hAnsiTheme="minorEastAsia" w:eastAsiaTheme="minorEastAsia"/>
          <w:sz w:val="24"/>
        </w:rPr>
      </w:pPr>
      <w:r>
        <w:rPr>
          <w:rFonts w:hint="eastAsia" w:asciiTheme="minorEastAsia" w:hAnsiTheme="minorEastAsia" w:eastAsiaTheme="minorEastAsia"/>
          <w:sz w:val="24"/>
        </w:rPr>
        <w:t>1、具有中等职业学校教师资格及以上证书。</w:t>
      </w:r>
    </w:p>
    <w:p>
      <w:pPr>
        <w:rPr>
          <w:rFonts w:asciiTheme="minorEastAsia" w:hAnsiTheme="minorEastAsia" w:eastAsiaTheme="minorEastAsia"/>
          <w:sz w:val="24"/>
        </w:rPr>
      </w:pPr>
      <w:r>
        <w:rPr>
          <w:rFonts w:hint="eastAsia" w:asciiTheme="minorEastAsia" w:hAnsiTheme="minorEastAsia" w:eastAsiaTheme="minorEastAsia"/>
          <w:sz w:val="24"/>
        </w:rPr>
        <w:t>2、具有本专业中级及以上职业资格证书或相应技术职称。</w:t>
      </w:r>
    </w:p>
    <w:p>
      <w:pPr>
        <w:rPr>
          <w:rFonts w:asciiTheme="minorEastAsia" w:hAnsiTheme="minorEastAsia" w:eastAsia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华康俪金黑W8(P)">
    <w:altName w:val="微软雅黑"/>
    <w:panose1 w:val="00000000000000000000"/>
    <w:charset w:val="86"/>
    <w:family w:val="swiss"/>
    <w:pitch w:val="default"/>
    <w:sig w:usb0="00000000" w:usb1="00000000" w:usb2="00000012" w:usb3="00000000" w:csb0="00040000" w:csb1="00000000"/>
  </w:font>
  <w:font w:name="仿宋_GB2312">
    <w:altName w:val="仿宋"/>
    <w:panose1 w:val="00000000000000000000"/>
    <w:charset w:val="86"/>
    <w:family w:val="auto"/>
    <w:pitch w:val="default"/>
    <w:sig w:usb0="00000000" w:usb1="00000000" w:usb2="00000000" w:usb3="00000000" w:csb0="00000000" w:csb1="00000000"/>
  </w:font>
  <w:font w:name="微软雅黑">
    <w:panose1 w:val="020B0503020204020204"/>
    <w:charset w:val="86"/>
    <w:family w:val="roman"/>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807D3E"/>
    <w:multiLevelType w:val="singleLevel"/>
    <w:tmpl w:val="D8807D3E"/>
    <w:lvl w:ilvl="0" w:tentative="0">
      <w:start w:val="1"/>
      <w:numFmt w:val="chineseCounting"/>
      <w:suff w:val="nothing"/>
      <w:lvlText w:val="（%1）"/>
      <w:lvlJc w:val="left"/>
      <w:rPr>
        <w:rFonts w:hint="eastAsia"/>
      </w:rPr>
    </w:lvl>
  </w:abstractNum>
  <w:abstractNum w:abstractNumId="1">
    <w:nsid w:val="1BA245C3"/>
    <w:multiLevelType w:val="multilevel"/>
    <w:tmpl w:val="1BA245C3"/>
    <w:lvl w:ilvl="0" w:tentative="0">
      <w:start w:val="1"/>
      <w:numFmt w:val="decimal"/>
      <w:lvlText w:val="%1、"/>
      <w:lvlJc w:val="left"/>
      <w:pPr>
        <w:ind w:left="1290" w:hanging="72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2">
    <w:nsid w:val="20092832"/>
    <w:multiLevelType w:val="multilevel"/>
    <w:tmpl w:val="20092832"/>
    <w:lvl w:ilvl="0" w:tentative="0">
      <w:start w:val="1"/>
      <w:numFmt w:val="bullet"/>
      <w:lvlText w:val=""/>
      <w:lvlJc w:val="left"/>
      <w:pPr>
        <w:tabs>
          <w:tab w:val="left" w:pos="881"/>
        </w:tabs>
        <w:ind w:left="881" w:hanging="420"/>
      </w:pPr>
      <w:rPr>
        <w:rFonts w:hint="default" w:ascii="Wingdings" w:hAnsi="Wingdings"/>
      </w:rPr>
    </w:lvl>
    <w:lvl w:ilvl="1" w:tentative="0">
      <w:start w:val="1"/>
      <w:numFmt w:val="bullet"/>
      <w:lvlText w:val=""/>
      <w:lvlJc w:val="left"/>
      <w:pPr>
        <w:tabs>
          <w:tab w:val="left" w:pos="1301"/>
        </w:tabs>
        <w:ind w:left="1301" w:hanging="420"/>
      </w:pPr>
      <w:rPr>
        <w:rFonts w:hint="default" w:ascii="Wingdings" w:hAnsi="Wingdings"/>
      </w:rPr>
    </w:lvl>
    <w:lvl w:ilvl="2" w:tentative="0">
      <w:start w:val="1"/>
      <w:numFmt w:val="bullet"/>
      <w:lvlText w:val=""/>
      <w:lvlJc w:val="left"/>
      <w:pPr>
        <w:tabs>
          <w:tab w:val="left" w:pos="1721"/>
        </w:tabs>
        <w:ind w:left="1721" w:hanging="420"/>
      </w:pPr>
      <w:rPr>
        <w:rFonts w:hint="default" w:ascii="Wingdings" w:hAnsi="Wingdings"/>
      </w:rPr>
    </w:lvl>
    <w:lvl w:ilvl="3" w:tentative="0">
      <w:start w:val="1"/>
      <w:numFmt w:val="bullet"/>
      <w:lvlText w:val=""/>
      <w:lvlJc w:val="left"/>
      <w:pPr>
        <w:tabs>
          <w:tab w:val="left" w:pos="2141"/>
        </w:tabs>
        <w:ind w:left="2141" w:hanging="420"/>
      </w:pPr>
      <w:rPr>
        <w:rFonts w:hint="default" w:ascii="Wingdings" w:hAnsi="Wingdings"/>
      </w:rPr>
    </w:lvl>
    <w:lvl w:ilvl="4" w:tentative="0">
      <w:start w:val="1"/>
      <w:numFmt w:val="bullet"/>
      <w:lvlText w:val=""/>
      <w:lvlJc w:val="left"/>
      <w:pPr>
        <w:tabs>
          <w:tab w:val="left" w:pos="2561"/>
        </w:tabs>
        <w:ind w:left="2561" w:hanging="420"/>
      </w:pPr>
      <w:rPr>
        <w:rFonts w:hint="default" w:ascii="Wingdings" w:hAnsi="Wingdings"/>
      </w:rPr>
    </w:lvl>
    <w:lvl w:ilvl="5" w:tentative="0">
      <w:start w:val="1"/>
      <w:numFmt w:val="bullet"/>
      <w:lvlText w:val=""/>
      <w:lvlJc w:val="left"/>
      <w:pPr>
        <w:tabs>
          <w:tab w:val="left" w:pos="2981"/>
        </w:tabs>
        <w:ind w:left="2981" w:hanging="420"/>
      </w:pPr>
      <w:rPr>
        <w:rFonts w:hint="default" w:ascii="Wingdings" w:hAnsi="Wingdings"/>
      </w:rPr>
    </w:lvl>
    <w:lvl w:ilvl="6" w:tentative="0">
      <w:start w:val="1"/>
      <w:numFmt w:val="bullet"/>
      <w:lvlText w:val=""/>
      <w:lvlJc w:val="left"/>
      <w:pPr>
        <w:tabs>
          <w:tab w:val="left" w:pos="3401"/>
        </w:tabs>
        <w:ind w:left="3401" w:hanging="420"/>
      </w:pPr>
      <w:rPr>
        <w:rFonts w:hint="default" w:ascii="Wingdings" w:hAnsi="Wingdings"/>
      </w:rPr>
    </w:lvl>
    <w:lvl w:ilvl="7" w:tentative="0">
      <w:start w:val="1"/>
      <w:numFmt w:val="bullet"/>
      <w:lvlText w:val=""/>
      <w:lvlJc w:val="left"/>
      <w:pPr>
        <w:tabs>
          <w:tab w:val="left" w:pos="3821"/>
        </w:tabs>
        <w:ind w:left="3821" w:hanging="420"/>
      </w:pPr>
      <w:rPr>
        <w:rFonts w:hint="default" w:ascii="Wingdings" w:hAnsi="Wingdings"/>
      </w:rPr>
    </w:lvl>
    <w:lvl w:ilvl="8" w:tentative="0">
      <w:start w:val="1"/>
      <w:numFmt w:val="bullet"/>
      <w:lvlText w:val=""/>
      <w:lvlJc w:val="left"/>
      <w:pPr>
        <w:tabs>
          <w:tab w:val="left" w:pos="4241"/>
        </w:tabs>
        <w:ind w:left="4241" w:hanging="420"/>
      </w:pPr>
      <w:rPr>
        <w:rFonts w:hint="default" w:ascii="Wingdings" w:hAnsi="Wingdings"/>
      </w:rPr>
    </w:lvl>
  </w:abstractNum>
  <w:abstractNum w:abstractNumId="3">
    <w:nsid w:val="488310E8"/>
    <w:multiLevelType w:val="multilevel"/>
    <w:tmpl w:val="488310E8"/>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4CA47C3F"/>
    <w:multiLevelType w:val="multilevel"/>
    <w:tmpl w:val="4CA47C3F"/>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
    <w:nsid w:val="694418EF"/>
    <w:multiLevelType w:val="multilevel"/>
    <w:tmpl w:val="694418E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91A19DD"/>
    <w:multiLevelType w:val="multilevel"/>
    <w:tmpl w:val="791A19DD"/>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2"/>
  </w:num>
  <w:num w:numId="2">
    <w:abstractNumId w:val="3"/>
  </w:num>
  <w:num w:numId="3">
    <w:abstractNumId w:val="6"/>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0370"/>
    <w:rsid w:val="0001240A"/>
    <w:rsid w:val="00023D85"/>
    <w:rsid w:val="000248D7"/>
    <w:rsid w:val="0003444F"/>
    <w:rsid w:val="00037A6A"/>
    <w:rsid w:val="00042568"/>
    <w:rsid w:val="00061BA8"/>
    <w:rsid w:val="00063BA5"/>
    <w:rsid w:val="00073763"/>
    <w:rsid w:val="00084A28"/>
    <w:rsid w:val="000878BE"/>
    <w:rsid w:val="000A4B4F"/>
    <w:rsid w:val="000B3655"/>
    <w:rsid w:val="000C2780"/>
    <w:rsid w:val="000D24D5"/>
    <w:rsid w:val="000E4AF7"/>
    <w:rsid w:val="000F2E39"/>
    <w:rsid w:val="000F3A6F"/>
    <w:rsid w:val="000F71A8"/>
    <w:rsid w:val="00104C1D"/>
    <w:rsid w:val="0011502C"/>
    <w:rsid w:val="001423C6"/>
    <w:rsid w:val="00156BAE"/>
    <w:rsid w:val="00157C31"/>
    <w:rsid w:val="00157F63"/>
    <w:rsid w:val="00170160"/>
    <w:rsid w:val="00181822"/>
    <w:rsid w:val="001A59F3"/>
    <w:rsid w:val="001C20E6"/>
    <w:rsid w:val="001C2254"/>
    <w:rsid w:val="001C50E7"/>
    <w:rsid w:val="001D577A"/>
    <w:rsid w:val="001F1ECF"/>
    <w:rsid w:val="0021303E"/>
    <w:rsid w:val="00216B34"/>
    <w:rsid w:val="0024596D"/>
    <w:rsid w:val="00254534"/>
    <w:rsid w:val="00282C78"/>
    <w:rsid w:val="002C0D9D"/>
    <w:rsid w:val="002C7653"/>
    <w:rsid w:val="00313AB2"/>
    <w:rsid w:val="00315599"/>
    <w:rsid w:val="003340F7"/>
    <w:rsid w:val="00350180"/>
    <w:rsid w:val="0035578B"/>
    <w:rsid w:val="00374E95"/>
    <w:rsid w:val="00381F98"/>
    <w:rsid w:val="00386C93"/>
    <w:rsid w:val="0039004C"/>
    <w:rsid w:val="003B272C"/>
    <w:rsid w:val="003B36D9"/>
    <w:rsid w:val="003B57BF"/>
    <w:rsid w:val="003B70E1"/>
    <w:rsid w:val="003D56AB"/>
    <w:rsid w:val="00412F16"/>
    <w:rsid w:val="00441CE9"/>
    <w:rsid w:val="00476BBB"/>
    <w:rsid w:val="00480BE4"/>
    <w:rsid w:val="004B0CF2"/>
    <w:rsid w:val="004B3C86"/>
    <w:rsid w:val="004B5647"/>
    <w:rsid w:val="004B77E9"/>
    <w:rsid w:val="004B7DB0"/>
    <w:rsid w:val="004D3D74"/>
    <w:rsid w:val="004F217D"/>
    <w:rsid w:val="00537A8E"/>
    <w:rsid w:val="00550E9E"/>
    <w:rsid w:val="005626C7"/>
    <w:rsid w:val="005825C5"/>
    <w:rsid w:val="00595F20"/>
    <w:rsid w:val="005B76C8"/>
    <w:rsid w:val="005C2602"/>
    <w:rsid w:val="005C26EA"/>
    <w:rsid w:val="005C57FE"/>
    <w:rsid w:val="005C705F"/>
    <w:rsid w:val="005D0FC9"/>
    <w:rsid w:val="005D1FE3"/>
    <w:rsid w:val="005F6EA9"/>
    <w:rsid w:val="006166BC"/>
    <w:rsid w:val="00617D01"/>
    <w:rsid w:val="00637AE4"/>
    <w:rsid w:val="00640370"/>
    <w:rsid w:val="00645286"/>
    <w:rsid w:val="006456FD"/>
    <w:rsid w:val="00697265"/>
    <w:rsid w:val="006B597F"/>
    <w:rsid w:val="006D715E"/>
    <w:rsid w:val="006E2D73"/>
    <w:rsid w:val="006E5E35"/>
    <w:rsid w:val="006F0978"/>
    <w:rsid w:val="00702268"/>
    <w:rsid w:val="00716CBF"/>
    <w:rsid w:val="0072172D"/>
    <w:rsid w:val="007250A7"/>
    <w:rsid w:val="00732C35"/>
    <w:rsid w:val="0074129B"/>
    <w:rsid w:val="00747790"/>
    <w:rsid w:val="00752784"/>
    <w:rsid w:val="00754AC1"/>
    <w:rsid w:val="00781C0F"/>
    <w:rsid w:val="007A1C94"/>
    <w:rsid w:val="007B71BA"/>
    <w:rsid w:val="007C5F66"/>
    <w:rsid w:val="007C6770"/>
    <w:rsid w:val="007E73BD"/>
    <w:rsid w:val="0081411D"/>
    <w:rsid w:val="0084615D"/>
    <w:rsid w:val="008466A8"/>
    <w:rsid w:val="00851363"/>
    <w:rsid w:val="008701BF"/>
    <w:rsid w:val="008D6F49"/>
    <w:rsid w:val="008F14A1"/>
    <w:rsid w:val="008F57BB"/>
    <w:rsid w:val="0090402C"/>
    <w:rsid w:val="00906937"/>
    <w:rsid w:val="00950080"/>
    <w:rsid w:val="00952187"/>
    <w:rsid w:val="0096484E"/>
    <w:rsid w:val="0097104F"/>
    <w:rsid w:val="00971609"/>
    <w:rsid w:val="0097346A"/>
    <w:rsid w:val="009B4C35"/>
    <w:rsid w:val="00A00E65"/>
    <w:rsid w:val="00A10A02"/>
    <w:rsid w:val="00A1488B"/>
    <w:rsid w:val="00A15399"/>
    <w:rsid w:val="00A3035E"/>
    <w:rsid w:val="00A34030"/>
    <w:rsid w:val="00A352E4"/>
    <w:rsid w:val="00A60BC3"/>
    <w:rsid w:val="00A709E4"/>
    <w:rsid w:val="00AB42E6"/>
    <w:rsid w:val="00AC098F"/>
    <w:rsid w:val="00B06BE4"/>
    <w:rsid w:val="00B12735"/>
    <w:rsid w:val="00B35588"/>
    <w:rsid w:val="00B57EE5"/>
    <w:rsid w:val="00B64030"/>
    <w:rsid w:val="00B65E14"/>
    <w:rsid w:val="00B7120C"/>
    <w:rsid w:val="00B76595"/>
    <w:rsid w:val="00B85154"/>
    <w:rsid w:val="00B8550E"/>
    <w:rsid w:val="00B93090"/>
    <w:rsid w:val="00B959B0"/>
    <w:rsid w:val="00BC14CF"/>
    <w:rsid w:val="00BC3E0F"/>
    <w:rsid w:val="00BD3B26"/>
    <w:rsid w:val="00C00965"/>
    <w:rsid w:val="00C05AE5"/>
    <w:rsid w:val="00C24B5D"/>
    <w:rsid w:val="00C325A7"/>
    <w:rsid w:val="00C32E54"/>
    <w:rsid w:val="00C50FA0"/>
    <w:rsid w:val="00C536B3"/>
    <w:rsid w:val="00C631F6"/>
    <w:rsid w:val="00C73252"/>
    <w:rsid w:val="00CD749B"/>
    <w:rsid w:val="00CD772C"/>
    <w:rsid w:val="00D018EC"/>
    <w:rsid w:val="00D1375F"/>
    <w:rsid w:val="00D54A36"/>
    <w:rsid w:val="00D6205D"/>
    <w:rsid w:val="00D71FF3"/>
    <w:rsid w:val="00D72477"/>
    <w:rsid w:val="00D92AF7"/>
    <w:rsid w:val="00DB5891"/>
    <w:rsid w:val="00E171BC"/>
    <w:rsid w:val="00E22199"/>
    <w:rsid w:val="00E40164"/>
    <w:rsid w:val="00E405EE"/>
    <w:rsid w:val="00E413E5"/>
    <w:rsid w:val="00E4749B"/>
    <w:rsid w:val="00EA0A5A"/>
    <w:rsid w:val="00EA0D76"/>
    <w:rsid w:val="00EB1737"/>
    <w:rsid w:val="00EB23D3"/>
    <w:rsid w:val="00EC6560"/>
    <w:rsid w:val="00EF57D6"/>
    <w:rsid w:val="00F00E6C"/>
    <w:rsid w:val="00F23747"/>
    <w:rsid w:val="00F25513"/>
    <w:rsid w:val="00F3076C"/>
    <w:rsid w:val="00F34367"/>
    <w:rsid w:val="00F439A9"/>
    <w:rsid w:val="00F456A3"/>
    <w:rsid w:val="00F61DFE"/>
    <w:rsid w:val="00F90939"/>
    <w:rsid w:val="00FA0270"/>
    <w:rsid w:val="00FA2234"/>
    <w:rsid w:val="00FA3BB4"/>
    <w:rsid w:val="00FB6206"/>
    <w:rsid w:val="00FD2ABC"/>
    <w:rsid w:val="00FF0E88"/>
    <w:rsid w:val="00FF6273"/>
    <w:rsid w:val="19186928"/>
    <w:rsid w:val="23080B90"/>
    <w:rsid w:val="7F584051"/>
  </w:rsids>
  <m:mathPr>
    <m:mathFont m:val="Cambria Math"/>
    <m:brkBin m:val="before"/>
    <m:brkBinSub m:val="--"/>
    <m:smallFrac m:val="1"/>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11"/>
    <w:qFormat/>
    <w:uiPriority w:val="0"/>
    <w:pPr>
      <w:jc w:val="center"/>
    </w:pPr>
    <w:rPr>
      <w:sz w:val="57"/>
    </w:rPr>
  </w:style>
  <w:style w:type="paragraph" w:styleId="3">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 字符"/>
    <w:basedOn w:val="7"/>
    <w:link w:val="2"/>
    <w:uiPriority w:val="0"/>
    <w:rPr>
      <w:rFonts w:ascii="Times New Roman" w:hAnsi="Times New Roman" w:eastAsia="宋体" w:cs="Times New Roman"/>
      <w:sz w:val="57"/>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8A6F0A-55E5-473F-AE94-45AD593C739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1094</Words>
  <Characters>6242</Characters>
  <Lines>52</Lines>
  <Paragraphs>14</Paragraphs>
  <TotalTime>1</TotalTime>
  <ScaleCrop>false</ScaleCrop>
  <LinksUpToDate>false</LinksUpToDate>
  <CharactersWithSpaces>7322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2019-05-07T09:01:00Z</dcterms:created>
  <dc:creator>Microsoft</dc:creator>
  <cp:lastModifiedBy>丹凤</cp:lastModifiedBy>
  <dcterms:modified xsi:type="dcterms:W3CDTF">2020-07-09T01:16:17Z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