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spacing w:line="360" w:lineRule="auto"/>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 xml:space="preserve">  </w:t>
      </w:r>
    </w:p>
    <w:p>
      <w:pPr>
        <w:pStyle w:val="22"/>
        <w:spacing w:line="360" w:lineRule="auto"/>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-295275</wp:posOffset>
            </wp:positionH>
            <wp:positionV relativeFrom="paragraph">
              <wp:posOffset>-38100</wp:posOffset>
            </wp:positionV>
            <wp:extent cx="1333500" cy="1333500"/>
            <wp:effectExtent l="19050" t="0" r="0" b="0"/>
            <wp:wrapNone/>
            <wp:docPr id="2" name="Picture 2"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职院标志(1)副本"/>
                    <pic:cNvPicPr>
                      <a:picLocks noChangeAspect="1" noChangeArrowheads="1"/>
                    </pic:cNvPicPr>
                  </pic:nvPicPr>
                  <pic:blipFill>
                    <a:blip r:embed="rId5" cstate="print"/>
                    <a:srcRect/>
                    <a:stretch>
                      <a:fillRect/>
                    </a:stretch>
                  </pic:blipFill>
                  <pic:spPr>
                    <a:xfrm>
                      <a:off x="0" y="0"/>
                      <a:ext cx="1333500" cy="1333500"/>
                    </a:xfrm>
                    <a:prstGeom prst="rect">
                      <a:avLst/>
                    </a:prstGeom>
                    <a:noFill/>
                    <a:ln w="9525">
                      <a:noFill/>
                      <a:miter lim="800000"/>
                      <a:headEnd/>
                      <a:tailEnd/>
                    </a:ln>
                  </pic:spPr>
                </pic:pic>
              </a:graphicData>
            </a:graphic>
          </wp:anchor>
        </w:drawing>
      </w:r>
      <w:r>
        <w:rPr>
          <w:rFonts w:hint="eastAsia" w:ascii="宋体" w:hAnsi="宋体" w:cs="宋体"/>
          <w:b/>
          <w:color w:val="000000" w:themeColor="text1"/>
          <w14:textFill>
            <w14:solidFill>
              <w14:schemeClr w14:val="tx1"/>
            </w14:solidFill>
          </w14:textFill>
        </w:rPr>
        <w:t xml:space="preserve">  </w:t>
      </w:r>
    </w:p>
    <w:p>
      <w:pPr>
        <w:pStyle w:val="22"/>
        <w:spacing w:line="360" w:lineRule="auto"/>
        <w:jc w:val="center"/>
        <w:rPr>
          <w:rFonts w:ascii="宋体" w:hAnsi="宋体"/>
          <w:b/>
          <w:bCs/>
          <w:color w:val="000000" w:themeColor="text1"/>
          <w:sz w:val="52"/>
          <w:szCs w:val="52"/>
          <w14:textFill>
            <w14:solidFill>
              <w14:schemeClr w14:val="tx1"/>
            </w14:solidFill>
          </w14:textFill>
        </w:rPr>
      </w:pPr>
      <w:r>
        <w:rPr>
          <w:rFonts w:hint="eastAsia" w:ascii="宋体" w:hAnsi="宋体" w:cs="宋体"/>
          <w:b/>
          <w:color w:val="000000" w:themeColor="text1"/>
          <w14:textFill>
            <w14:solidFill>
              <w14:schemeClr w14:val="tx1"/>
            </w14:solidFill>
          </w14:textFill>
        </w:rPr>
        <w:t xml:space="preserve">  </w:t>
      </w:r>
      <w:r>
        <w:rPr>
          <w:rFonts w:hint="eastAsia" w:ascii="宋体" w:hAnsi="宋体" w:cs="宋体"/>
          <w:b/>
          <w:color w:val="000000" w:themeColor="text1"/>
          <w:sz w:val="48"/>
          <w:szCs w:val="48"/>
          <w14:textFill>
            <w14:solidFill>
              <w14:schemeClr w14:val="tx1"/>
            </w14:solidFill>
          </w14:textFill>
        </w:rPr>
        <w:t xml:space="preserve"> </w:t>
      </w:r>
      <w:r>
        <w:rPr>
          <w:rFonts w:hint="eastAsia" w:ascii="宋体" w:hAnsi="宋体" w:cs="宋体"/>
          <w:b/>
          <w:color w:val="000000" w:themeColor="text1"/>
          <w:sz w:val="52"/>
          <w:szCs w:val="52"/>
          <w14:textFill>
            <w14:solidFill>
              <w14:schemeClr w14:val="tx1"/>
            </w14:solidFill>
          </w14:textFill>
        </w:rPr>
        <w:t>贵州建设职业技术学院</w:t>
      </w:r>
    </w:p>
    <w:p>
      <w:pPr>
        <w:ind w:firstLine="482"/>
        <w:jc w:val="center"/>
        <w:outlineLvl w:val="0"/>
        <w:rPr>
          <w:rFonts w:ascii="宋体" w:hAnsi="宋体"/>
          <w:b/>
          <w:color w:val="000000" w:themeColor="text1"/>
          <w:shd w:val="clear" w:color="auto" w:fill="FFFFFF"/>
          <w14:textFill>
            <w14:solidFill>
              <w14:schemeClr w14:val="tx1"/>
            </w14:solidFill>
          </w14:textFill>
        </w:rPr>
      </w:pPr>
      <w:bookmarkStart w:id="0" w:name="_Toc371598982"/>
    </w:p>
    <w:p>
      <w:pPr>
        <w:ind w:firstLine="482"/>
        <w:jc w:val="center"/>
        <w:outlineLvl w:val="0"/>
        <w:rPr>
          <w:rFonts w:ascii="宋体" w:hAnsi="宋体"/>
          <w:b/>
          <w:color w:val="000000" w:themeColor="text1"/>
          <w:shd w:val="clear" w:color="auto" w:fill="FFFFFF"/>
          <w14:textFill>
            <w14:solidFill>
              <w14:schemeClr w14:val="tx1"/>
            </w14:solidFill>
          </w14:textFill>
        </w:rPr>
      </w:pPr>
    </w:p>
    <w:p>
      <w:pPr>
        <w:ind w:firstLine="482"/>
        <w:jc w:val="center"/>
        <w:outlineLvl w:val="0"/>
        <w:rPr>
          <w:rFonts w:ascii="宋体" w:hAnsi="宋体"/>
          <w:b/>
          <w:color w:val="000000" w:themeColor="text1"/>
          <w:shd w:val="clear" w:color="auto" w:fill="FFFFFF"/>
          <w14:textFill>
            <w14:solidFill>
              <w14:schemeClr w14:val="tx1"/>
            </w14:solidFill>
          </w14:textFill>
        </w:rPr>
      </w:pPr>
    </w:p>
    <w:p>
      <w:pPr>
        <w:ind w:firstLine="482"/>
        <w:jc w:val="center"/>
        <w:outlineLvl w:val="0"/>
        <w:rPr>
          <w:rFonts w:ascii="宋体" w:hAnsi="宋体"/>
          <w:b/>
          <w:color w:val="000000" w:themeColor="text1"/>
          <w:shd w:val="clear" w:color="auto" w:fill="FFFFFF"/>
          <w14:textFill>
            <w14:solidFill>
              <w14:schemeClr w14:val="tx1"/>
            </w14:solidFill>
          </w14:textFill>
        </w:rPr>
      </w:pPr>
    </w:p>
    <w:p>
      <w:pPr>
        <w:ind w:firstLine="482"/>
        <w:jc w:val="center"/>
        <w:outlineLvl w:val="0"/>
        <w:rPr>
          <w:rFonts w:ascii="宋体" w:hAnsi="宋体"/>
          <w:b/>
          <w:color w:val="000000" w:themeColor="text1"/>
          <w:shd w:val="clear" w:color="auto" w:fill="FFFFFF"/>
          <w14:textFill>
            <w14:solidFill>
              <w14:schemeClr w14:val="tx1"/>
            </w14:solidFill>
          </w14:textFill>
        </w:rPr>
      </w:pPr>
    </w:p>
    <w:p>
      <w:pPr>
        <w:ind w:firstLine="482"/>
        <w:jc w:val="center"/>
        <w:outlineLvl w:val="0"/>
        <w:rPr>
          <w:rFonts w:ascii="宋体" w:hAnsi="宋体"/>
          <w:b/>
          <w:color w:val="000000" w:themeColor="text1"/>
          <w:shd w:val="clear" w:color="auto" w:fill="FFFFFF"/>
          <w14:textFill>
            <w14:solidFill>
              <w14:schemeClr w14:val="tx1"/>
            </w14:solidFill>
          </w14:textFill>
        </w:rPr>
      </w:pPr>
    </w:p>
    <w:p>
      <w:pPr>
        <w:spacing w:line="720" w:lineRule="auto"/>
        <w:ind w:firstLine="0"/>
        <w:jc w:val="center"/>
        <w:rPr>
          <w:rFonts w:ascii="宋体" w:hAnsi="宋体"/>
          <w:b/>
          <w:color w:val="000000" w:themeColor="text1"/>
          <w:sz w:val="72"/>
          <w:szCs w:val="72"/>
          <w:shd w:val="clear" w:color="auto" w:fill="FFFFFF"/>
          <w14:textFill>
            <w14:solidFill>
              <w14:schemeClr w14:val="tx1"/>
            </w14:solidFill>
          </w14:textFill>
        </w:rPr>
      </w:pPr>
      <w:bookmarkStart w:id="1" w:name="_Toc415132035"/>
      <w:r>
        <w:rPr>
          <w:rFonts w:hint="eastAsia" w:ascii="宋体" w:hAnsi="宋体"/>
          <w:b/>
          <w:color w:val="000000" w:themeColor="text1"/>
          <w:sz w:val="72"/>
          <w:szCs w:val="72"/>
          <w:shd w:val="clear" w:color="auto" w:fill="FFFFFF"/>
          <w14:textFill>
            <w14:solidFill>
              <w14:schemeClr w14:val="tx1"/>
            </w14:solidFill>
          </w14:textFill>
        </w:rPr>
        <w:t>旅游管理专业</w:t>
      </w:r>
    </w:p>
    <w:p>
      <w:pPr>
        <w:spacing w:line="720" w:lineRule="auto"/>
        <w:ind w:firstLine="0"/>
        <w:jc w:val="center"/>
        <w:rPr>
          <w:rFonts w:ascii="宋体" w:hAnsi="宋体"/>
          <w:b/>
          <w:color w:val="000000" w:themeColor="text1"/>
          <w:sz w:val="72"/>
          <w:szCs w:val="72"/>
          <w:shd w:val="clear" w:color="auto" w:fill="FFFFFF"/>
          <w14:textFill>
            <w14:solidFill>
              <w14:schemeClr w14:val="tx1"/>
            </w14:solidFill>
          </w14:textFill>
        </w:rPr>
      </w:pPr>
      <w:r>
        <w:rPr>
          <w:rFonts w:hint="eastAsia" w:ascii="宋体" w:hAnsi="宋体"/>
          <w:b/>
          <w:color w:val="000000" w:themeColor="text1"/>
          <w:sz w:val="72"/>
          <w:szCs w:val="72"/>
          <w:shd w:val="clear" w:color="auto" w:fill="FFFFFF"/>
          <w14:textFill>
            <w14:solidFill>
              <w14:schemeClr w14:val="tx1"/>
            </w14:solidFill>
          </w14:textFill>
        </w:rPr>
        <w:t>人才培养方案</w:t>
      </w:r>
      <w:bookmarkEnd w:id="0"/>
      <w:bookmarkEnd w:id="1"/>
    </w:p>
    <w:p>
      <w:pPr>
        <w:spacing w:line="720" w:lineRule="auto"/>
        <w:ind w:firstLine="0"/>
        <w:jc w:val="center"/>
        <w:rPr>
          <w:rFonts w:ascii="宋体" w:hAnsi="宋体"/>
          <w:b/>
          <w:color w:val="000000" w:themeColor="text1"/>
          <w:sz w:val="44"/>
          <w:szCs w:val="44"/>
          <w:shd w:val="clear" w:color="auto" w:fill="FFFFFF"/>
          <w14:textFill>
            <w14:solidFill>
              <w14:schemeClr w14:val="tx1"/>
            </w14:solidFill>
          </w14:textFill>
        </w:rPr>
      </w:pPr>
      <w:r>
        <w:rPr>
          <w:rFonts w:hint="eastAsia" w:ascii="宋体" w:hAnsi="宋体"/>
          <w:b/>
          <w:color w:val="000000" w:themeColor="text1"/>
          <w:sz w:val="44"/>
          <w:szCs w:val="44"/>
          <w:shd w:val="clear" w:color="auto" w:fill="FFFFFF"/>
          <w14:textFill>
            <w14:solidFill>
              <w14:schemeClr w14:val="tx1"/>
            </w14:solidFill>
          </w14:textFill>
        </w:rPr>
        <w:t>（三年普高）</w:t>
      </w:r>
    </w:p>
    <w:p>
      <w:pPr>
        <w:ind w:firstLine="480"/>
        <w:rPr>
          <w:rFonts w:ascii="宋体" w:hAnsi="宋体"/>
          <w:color w:val="000000" w:themeColor="text1"/>
          <w14:textFill>
            <w14:solidFill>
              <w14:schemeClr w14:val="tx1"/>
            </w14:solidFill>
          </w14:textFill>
        </w:rPr>
      </w:pPr>
    </w:p>
    <w:p>
      <w:pPr>
        <w:ind w:firstLine="480"/>
        <w:rPr>
          <w:rFonts w:ascii="宋体" w:hAnsi="宋体"/>
          <w:color w:val="000000" w:themeColor="text1"/>
          <w14:textFill>
            <w14:solidFill>
              <w14:schemeClr w14:val="tx1"/>
            </w14:solidFill>
          </w14:textFill>
        </w:rPr>
      </w:pPr>
    </w:p>
    <w:p>
      <w:pPr>
        <w:ind w:firstLine="480"/>
        <w:rPr>
          <w:rFonts w:ascii="宋体" w:hAnsi="宋体"/>
          <w:color w:val="000000" w:themeColor="text1"/>
          <w14:textFill>
            <w14:solidFill>
              <w14:schemeClr w14:val="tx1"/>
            </w14:solidFill>
          </w14:textFill>
        </w:rPr>
      </w:pPr>
    </w:p>
    <w:p>
      <w:pPr>
        <w:ind w:firstLine="480"/>
        <w:rPr>
          <w:rFonts w:ascii="宋体" w:hAnsi="宋体"/>
          <w:color w:val="000000" w:themeColor="text1"/>
          <w14:textFill>
            <w14:solidFill>
              <w14:schemeClr w14:val="tx1"/>
            </w14:solidFill>
          </w14:textFill>
        </w:rPr>
      </w:pPr>
    </w:p>
    <w:p>
      <w:pPr>
        <w:ind w:firstLine="480"/>
        <w:rPr>
          <w:rFonts w:ascii="宋体" w:hAnsi="宋体"/>
          <w:color w:val="000000" w:themeColor="text1"/>
          <w14:textFill>
            <w14:solidFill>
              <w14:schemeClr w14:val="tx1"/>
            </w14:solidFill>
          </w14:textFill>
        </w:rPr>
      </w:pPr>
    </w:p>
    <w:p>
      <w:pPr>
        <w:ind w:firstLine="480"/>
        <w:rPr>
          <w:rFonts w:ascii="宋体" w:hAnsi="宋体"/>
          <w:color w:val="000000" w:themeColor="text1"/>
          <w14:textFill>
            <w14:solidFill>
              <w14:schemeClr w14:val="tx1"/>
            </w14:solidFill>
          </w14:textFill>
        </w:rPr>
      </w:pPr>
    </w:p>
    <w:p>
      <w:pPr>
        <w:ind w:firstLine="56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二〇</w:t>
      </w:r>
      <w:r>
        <w:rPr>
          <w:rFonts w:hint="eastAsia" w:ascii="宋体" w:hAnsi="宋体"/>
          <w:color w:val="000000" w:themeColor="text1"/>
          <w:lang w:eastAsia="zh-CN"/>
          <w14:textFill>
            <w14:solidFill>
              <w14:schemeClr w14:val="tx1"/>
            </w14:solidFill>
          </w14:textFill>
        </w:rPr>
        <w:t>一九</w:t>
      </w:r>
      <w:r>
        <w:rPr>
          <w:rFonts w:hint="eastAsia" w:ascii="宋体" w:hAnsi="宋体"/>
          <w:color w:val="000000" w:themeColor="text1"/>
          <w14:textFill>
            <w14:solidFill>
              <w14:schemeClr w14:val="tx1"/>
            </w14:solidFill>
          </w14:textFill>
        </w:rPr>
        <w:t>年</w:t>
      </w:r>
      <w:bookmarkStart w:id="5" w:name="_GoBack"/>
      <w:bookmarkEnd w:id="5"/>
    </w:p>
    <w:p>
      <w:pPr>
        <w:rPr>
          <w:rFonts w:ascii="黑体" w:hAnsi="黑体" w:eastAsia="黑体"/>
          <w:color w:val="000000" w:themeColor="text1"/>
          <w:sz w:val="36"/>
          <w:szCs w:val="36"/>
          <w14:textFill>
            <w14:solidFill>
              <w14:schemeClr w14:val="tx1"/>
            </w14:solidFill>
          </w14:textFill>
        </w:rPr>
      </w:pPr>
      <w:r>
        <w:rPr>
          <w:rFonts w:ascii="宋体" w:hAnsi="宋体"/>
          <w:color w:val="000000" w:themeColor="text1"/>
          <w14:textFill>
            <w14:solidFill>
              <w14:schemeClr w14:val="tx1"/>
            </w14:solidFill>
          </w14:textFill>
        </w:rPr>
        <w:br w:type="page"/>
      </w:r>
    </w:p>
    <w:p>
      <w:pPr>
        <w:ind w:firstLine="0"/>
        <w:jc w:val="center"/>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旅游管理专业人才培养方案</w:t>
      </w:r>
    </w:p>
    <w:p>
      <w:pPr>
        <w:spacing w:line="400" w:lineRule="exact"/>
        <w:ind w:firstLine="0"/>
        <w:jc w:val="center"/>
        <w:rPr>
          <w:rFonts w:cstheme="majorBidi"/>
          <w:b/>
          <w:bCs/>
          <w:color w:val="000000" w:themeColor="text1"/>
          <w:szCs w:val="32"/>
          <w14:textFill>
            <w14:solidFill>
              <w14:schemeClr w14:val="tx1"/>
            </w14:solidFill>
          </w14:textFill>
        </w:rPr>
      </w:pPr>
    </w:p>
    <w:p>
      <w:pPr>
        <w:spacing w:line="400" w:lineRule="exact"/>
        <w:ind w:firstLine="0"/>
        <w:jc w:val="center"/>
        <w:rPr>
          <w:rFonts w:ascii="黑体" w:hAnsi="黑体" w:eastAsia="黑体" w:cs="黑体"/>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前言</w:t>
      </w:r>
    </w:p>
    <w:p>
      <w:pPr>
        <w:pStyle w:val="2"/>
        <w:spacing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据世界旅游理事会（ＷＴＴＣ）在ＷＴＯ召开的世界大会上宣布，中国旅游就业是世界第一位的，根据世界旅游组织的研究结果，到2020年，中国将成为世界第一大旅游目的地，年接待1．37亿人次的入境旅游者，同时2020年出境人数1亿，位列世界第四。因此我国对旅游管理人才需求有很大的缺口。有关业内专家认为，我国旅游就业前景广阔，旅游就业存在十大增长点。即： 新型住宿接待业、特色餐饮业、旅游景区景点开发、旅游商品生产与销售、旅游农业、旅游工业、旅游新兴服务业、旅游文化娱乐业、旅游交通运输业、旅游劳务输出十个方面，这些领域就业增长快、潜力大、带动性强，而且能充分利用市场机制加快发展，就业成本低，老百性受益面宽。</w:t>
      </w:r>
    </w:p>
    <w:p>
      <w:pPr>
        <w:pStyle w:val="2"/>
        <w:spacing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为适应国家旅游行业发展发展对人才的需要，实现学校中长期发展目标，进一步深化教育教学改革，提高人才培养质量，在对专业进行市场调研的基础上，就人才培养目标、规格、人才培养模式、专业课程体系结构设置、课时安排、教学内容和教学方法等诸多方面进行了切合实际的深入细致的研究探讨，最终形成了《旅游管理专业人才培养方案》。</w:t>
      </w:r>
    </w:p>
    <w:p>
      <w:pPr>
        <w:pStyle w:val="15"/>
        <w:spacing w:before="0" w:after="0" w:line="440" w:lineRule="exact"/>
        <w:rPr>
          <w:rFonts w:hint="eastAsia" w:ascii="黑体" w:hAnsi="黑体" w:eastAsia="黑体"/>
          <w:b w:val="0"/>
          <w:bCs w:val="0"/>
          <w:color w:val="000000" w:themeColor="text1"/>
          <w:sz w:val="32"/>
          <w:szCs w:val="36"/>
          <w:lang w:eastAsia="zh-CN"/>
          <w14:textFill>
            <w14:solidFill>
              <w14:schemeClr w14:val="tx1"/>
            </w14:solidFill>
          </w14:textFill>
        </w:rPr>
      </w:pPr>
      <w:bookmarkStart w:id="2" w:name="_Toc2328940"/>
      <w:r>
        <w:rPr>
          <w:rFonts w:hint="eastAsia" w:ascii="黑体" w:hAnsi="黑体" w:eastAsia="黑体"/>
          <w:b w:val="0"/>
          <w:bCs w:val="0"/>
          <w:color w:val="000000" w:themeColor="text1"/>
          <w:sz w:val="32"/>
          <w:szCs w:val="36"/>
          <w14:textFill>
            <w14:solidFill>
              <w14:schemeClr w14:val="tx1"/>
            </w14:solidFill>
          </w14:textFill>
        </w:rPr>
        <w:t>一、专业名称及</w:t>
      </w:r>
      <w:bookmarkEnd w:id="2"/>
      <w:r>
        <w:rPr>
          <w:rFonts w:hint="eastAsia" w:ascii="黑体" w:hAnsi="黑体" w:eastAsia="黑体"/>
          <w:b w:val="0"/>
          <w:bCs w:val="0"/>
          <w:color w:val="000000" w:themeColor="text1"/>
          <w:sz w:val="32"/>
          <w:szCs w:val="36"/>
          <w:lang w:eastAsia="zh-CN"/>
          <w14:textFill>
            <w14:solidFill>
              <w14:schemeClr w14:val="tx1"/>
            </w14:solidFill>
          </w14:textFill>
        </w:rPr>
        <w:t>代码</w:t>
      </w:r>
    </w:p>
    <w:p>
      <w:pPr>
        <w:spacing w:line="440" w:lineRule="exact"/>
        <w:ind w:left="476" w:leftChars="170" w:firstLine="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专业名称：旅游管理</w:t>
      </w:r>
    </w:p>
    <w:p>
      <w:pPr>
        <w:spacing w:line="440" w:lineRule="exact"/>
        <w:ind w:left="476" w:leftChars="170" w:firstLine="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专业代码：640101</w:t>
      </w:r>
    </w:p>
    <w:p>
      <w:pPr>
        <w:pStyle w:val="15"/>
        <w:spacing w:before="0" w:after="0" w:line="440" w:lineRule="exact"/>
        <w:rPr>
          <w:rFonts w:ascii="黑体" w:hAnsi="黑体" w:eastAsia="黑体"/>
          <w:b w:val="0"/>
          <w:bCs w:val="0"/>
          <w:color w:val="000000" w:themeColor="text1"/>
          <w:sz w:val="32"/>
          <w:szCs w:val="36"/>
          <w14:textFill>
            <w14:solidFill>
              <w14:schemeClr w14:val="tx1"/>
            </w14:solidFill>
          </w14:textFill>
        </w:rPr>
      </w:pPr>
      <w:r>
        <w:rPr>
          <w:rFonts w:hint="eastAsia" w:ascii="黑体" w:hAnsi="黑体" w:eastAsia="黑体"/>
          <w:b w:val="0"/>
          <w:bCs w:val="0"/>
          <w:color w:val="000000" w:themeColor="text1"/>
          <w:sz w:val="32"/>
          <w:szCs w:val="36"/>
          <w14:textFill>
            <w14:solidFill>
              <w14:schemeClr w14:val="tx1"/>
            </w14:solidFill>
          </w14:textFill>
        </w:rPr>
        <w:t>二、入学要求</w:t>
      </w:r>
    </w:p>
    <w:p>
      <w:pPr>
        <w:spacing w:line="440" w:lineRule="exact"/>
        <w:ind w:left="476" w:leftChars="170" w:firstLine="0"/>
        <w:rPr>
          <w:rFonts w:ascii="新宋体" w:hAnsi="新宋体" w:eastAsia="宋体" w:cs="新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高中阶段教育毕业生或具有同等学力者。</w:t>
      </w:r>
    </w:p>
    <w:p>
      <w:pPr>
        <w:pStyle w:val="2"/>
        <w:spacing w:after="0" w:line="440" w:lineRule="exact"/>
        <w:ind w:firstLine="0" w:firstLineChars="0"/>
        <w:rPr>
          <w:rFonts w:ascii="黑体" w:hAnsi="黑体" w:eastAsia="黑体" w:cstheme="majorBidi"/>
          <w:color w:val="000000" w:themeColor="text1"/>
          <w:sz w:val="32"/>
          <w:szCs w:val="36"/>
          <w14:textFill>
            <w14:solidFill>
              <w14:schemeClr w14:val="tx1"/>
            </w14:solidFill>
          </w14:textFill>
        </w:rPr>
      </w:pPr>
      <w:r>
        <w:rPr>
          <w:rFonts w:hint="eastAsia" w:ascii="黑体" w:hAnsi="黑体" w:eastAsia="黑体" w:cstheme="majorBidi"/>
          <w:color w:val="000000" w:themeColor="text1"/>
          <w:sz w:val="32"/>
          <w:szCs w:val="36"/>
          <w14:textFill>
            <w14:solidFill>
              <w14:schemeClr w14:val="tx1"/>
            </w14:solidFill>
          </w14:textFill>
        </w:rPr>
        <w:t>三、</w:t>
      </w:r>
      <w:r>
        <w:rPr>
          <w:rFonts w:ascii="黑体" w:hAnsi="黑体" w:eastAsia="黑体" w:cstheme="majorBidi"/>
          <w:color w:val="000000" w:themeColor="text1"/>
          <w:sz w:val="32"/>
          <w:szCs w:val="36"/>
          <w14:textFill>
            <w14:solidFill>
              <w14:schemeClr w14:val="tx1"/>
            </w14:solidFill>
          </w14:textFill>
        </w:rPr>
        <w:t>修业年限</w:t>
      </w:r>
    </w:p>
    <w:p>
      <w:pPr>
        <w:pStyle w:val="2"/>
        <w:spacing w:after="0" w:line="440" w:lineRule="exact"/>
        <w:ind w:firstLine="560" w:firstLineChars="200"/>
        <w:rPr>
          <w:rFonts w:ascii="黑体" w:hAnsi="黑体" w:eastAsia="黑体" w:cstheme="majorBidi"/>
          <w:color w:val="000000" w:themeColor="text1"/>
          <w:sz w:val="32"/>
          <w:szCs w:val="36"/>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三年</w:t>
      </w:r>
    </w:p>
    <w:p>
      <w:pPr>
        <w:pStyle w:val="2"/>
        <w:spacing w:after="0" w:line="440" w:lineRule="exact"/>
        <w:ind w:firstLine="0" w:firstLineChars="0"/>
        <w:rPr>
          <w:rFonts w:ascii="黑体" w:hAnsi="黑体" w:eastAsia="黑体" w:cstheme="majorBidi"/>
          <w:color w:val="000000" w:themeColor="text1"/>
          <w:sz w:val="32"/>
          <w:szCs w:val="36"/>
          <w14:textFill>
            <w14:solidFill>
              <w14:schemeClr w14:val="tx1"/>
            </w14:solidFill>
          </w14:textFill>
        </w:rPr>
      </w:pPr>
      <w:r>
        <w:rPr>
          <w:rFonts w:hint="eastAsia" w:ascii="黑体" w:hAnsi="黑体" w:eastAsia="黑体" w:cstheme="majorBidi"/>
          <w:color w:val="000000" w:themeColor="text1"/>
          <w:sz w:val="32"/>
          <w:szCs w:val="36"/>
          <w14:textFill>
            <w14:solidFill>
              <w14:schemeClr w14:val="tx1"/>
            </w14:solidFill>
          </w14:textFill>
        </w:rPr>
        <w:t>四、职业面向</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148"/>
        <w:gridCol w:w="1295"/>
        <w:gridCol w:w="2098"/>
        <w:gridCol w:w="1705"/>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所属专业大类（代码）</w:t>
            </w:r>
          </w:p>
        </w:tc>
        <w:tc>
          <w:tcPr>
            <w:tcW w:w="114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所属专业类（代码）</w:t>
            </w:r>
          </w:p>
        </w:tc>
        <w:tc>
          <w:tcPr>
            <w:tcW w:w="129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对应行业（代码）</w:t>
            </w:r>
          </w:p>
        </w:tc>
        <w:tc>
          <w:tcPr>
            <w:tcW w:w="209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主要职业类别（代码）</w:t>
            </w:r>
          </w:p>
        </w:tc>
        <w:tc>
          <w:tcPr>
            <w:tcW w:w="170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主要岗位类别（或技术领域）</w:t>
            </w:r>
          </w:p>
        </w:tc>
        <w:tc>
          <w:tcPr>
            <w:tcW w:w="1137"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职业资格证书或技能等级证书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旅游大类（64）</w:t>
            </w:r>
          </w:p>
        </w:tc>
        <w:tc>
          <w:tcPr>
            <w:tcW w:w="114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旅游类（6401）</w:t>
            </w:r>
          </w:p>
        </w:tc>
        <w:tc>
          <w:tcPr>
            <w:tcW w:w="129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商务服务业（72）</w:t>
            </w:r>
          </w:p>
        </w:tc>
        <w:tc>
          <w:tcPr>
            <w:tcW w:w="209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旅行社计调（4-07-04-03）；旅游咨询员（4-07-04-04）；旅游团队领队（4-07-04-02）；导游（4-07-04-01)</w:t>
            </w:r>
          </w:p>
        </w:tc>
        <w:tc>
          <w:tcPr>
            <w:tcW w:w="170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门市接待；计调与销售；网络运营；出境领队；导游</w:t>
            </w:r>
          </w:p>
        </w:tc>
        <w:tc>
          <w:tcPr>
            <w:tcW w:w="1137"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导游资格证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旅游大类（64）</w:t>
            </w:r>
          </w:p>
        </w:tc>
        <w:tc>
          <w:tcPr>
            <w:tcW w:w="114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旅游类（6401）</w:t>
            </w:r>
          </w:p>
        </w:tc>
        <w:tc>
          <w:tcPr>
            <w:tcW w:w="129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专业技术服务类（74）；公共设施管理业（78）；娱乐业（90）</w:t>
            </w:r>
          </w:p>
        </w:tc>
        <w:tc>
          <w:tcPr>
            <w:tcW w:w="209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公共游览场所服务员（4-07-04-05）；商品销售员（4-01-02-03）；制图员（3-01-02-07）</w:t>
            </w:r>
          </w:p>
        </w:tc>
        <w:tc>
          <w:tcPr>
            <w:tcW w:w="170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接待服务；景区管理；互动策划；旅游规划；产品销售</w:t>
            </w:r>
          </w:p>
        </w:tc>
        <w:tc>
          <w:tcPr>
            <w:tcW w:w="1137" w:type="dxa"/>
          </w:tcPr>
          <w:p>
            <w:pPr>
              <w:pStyle w:val="2"/>
              <w:ind w:firstLine="210"/>
              <w:rPr>
                <w:rFonts w:ascii="宋体" w:hAnsi="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旅游大类（64）</w:t>
            </w:r>
          </w:p>
        </w:tc>
        <w:tc>
          <w:tcPr>
            <w:tcW w:w="114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旅游类（6401）</w:t>
            </w:r>
          </w:p>
        </w:tc>
        <w:tc>
          <w:tcPr>
            <w:tcW w:w="129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住宿业（61）；餐饮业（62）</w:t>
            </w:r>
          </w:p>
        </w:tc>
        <w:tc>
          <w:tcPr>
            <w:tcW w:w="2098"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前厅服务员（4-03-01-02）；客房服务员（4-03-01-02）；旅店服务员（4-03-01-03）；餐厅服务员（4-03-02-05）；茶艺师（4-03-02-07）；咖啡师（4-03-02-08）；调酒师（4-03-02-09）</w:t>
            </w:r>
          </w:p>
        </w:tc>
        <w:tc>
          <w:tcPr>
            <w:tcW w:w="1705" w:type="dxa"/>
          </w:tcPr>
          <w:p>
            <w:pPr>
              <w:adjustRightInd w:val="0"/>
              <w:snapToGrid w:val="0"/>
              <w:spacing w:line="400" w:lineRule="exact"/>
              <w:ind w:firstLine="0"/>
              <w:jc w:val="left"/>
              <w:rPr>
                <w:rFonts w:ascii="宋体-简" w:hAnsi="宋体-简" w:eastAsia="宋体-简" w:cs="宋体-简"/>
                <w:color w:val="000000" w:themeColor="text1"/>
                <w:sz w:val="21"/>
                <w:szCs w:val="21"/>
                <w14:textFill>
                  <w14:solidFill>
                    <w14:schemeClr w14:val="tx1"/>
                  </w14:solidFill>
                </w14:textFill>
              </w:rPr>
            </w:pPr>
            <w:r>
              <w:rPr>
                <w:rFonts w:ascii="宋体-简" w:hAnsi="宋体-简" w:eastAsia="宋体-简" w:cs="宋体-简"/>
                <w:color w:val="000000" w:themeColor="text1"/>
                <w:sz w:val="21"/>
                <w:szCs w:val="21"/>
                <w14:textFill>
                  <w14:solidFill>
                    <w14:schemeClr w14:val="tx1"/>
                  </w14:solidFill>
                </w14:textFill>
              </w:rPr>
              <w:t>前台接待；客房协调；销售部协调；餐厅服务；酒吧调酒</w:t>
            </w:r>
          </w:p>
        </w:tc>
        <w:tc>
          <w:tcPr>
            <w:tcW w:w="1137" w:type="dxa"/>
          </w:tcPr>
          <w:p>
            <w:pPr>
              <w:pStyle w:val="2"/>
              <w:ind w:firstLine="210"/>
              <w:rPr>
                <w:rFonts w:ascii="宋体" w:hAnsi="宋体"/>
                <w:color w:val="000000" w:themeColor="text1"/>
                <w:sz w:val="21"/>
                <w:szCs w:val="21"/>
                <w14:textFill>
                  <w14:solidFill>
                    <w14:schemeClr w14:val="tx1"/>
                  </w14:solidFill>
                </w14:textFill>
              </w:rPr>
            </w:pPr>
          </w:p>
        </w:tc>
      </w:tr>
    </w:tbl>
    <w:p>
      <w:pPr>
        <w:pStyle w:val="2"/>
        <w:spacing w:after="0" w:line="440" w:lineRule="exact"/>
        <w:ind w:firstLine="0" w:firstLineChars="0"/>
        <w:rPr>
          <w:rFonts w:ascii="黑体" w:hAnsi="黑体" w:eastAsia="黑体" w:cstheme="majorBidi"/>
          <w:color w:val="000000" w:themeColor="text1"/>
          <w:sz w:val="32"/>
          <w:szCs w:val="36"/>
          <w14:textFill>
            <w14:solidFill>
              <w14:schemeClr w14:val="tx1"/>
            </w14:solidFill>
          </w14:textFill>
        </w:rPr>
      </w:pPr>
      <w:r>
        <w:rPr>
          <w:rFonts w:hint="eastAsia" w:ascii="黑体" w:hAnsi="黑体" w:eastAsia="黑体" w:cstheme="majorBidi"/>
          <w:color w:val="000000" w:themeColor="text1"/>
          <w:sz w:val="32"/>
          <w:szCs w:val="36"/>
          <w14:textFill>
            <w14:solidFill>
              <w14:schemeClr w14:val="tx1"/>
            </w14:solidFill>
          </w14:textFill>
        </w:rPr>
        <w:t>五、培养目标与培养规格</w:t>
      </w:r>
    </w:p>
    <w:p>
      <w:pPr>
        <w:pStyle w:val="2"/>
        <w:spacing w:after="0" w:line="440" w:lineRule="exact"/>
        <w:ind w:firstLine="562" w:firstLineChars="0"/>
        <w:rPr>
          <w:rFonts w:hint="eastAsia" w:ascii="宋体" w:hAnsi="宋体" w:eastAsia="宋体" w:cs="宋体"/>
          <w:color w:val="000000" w:themeColor="text1"/>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（一）培养目标</w:t>
      </w:r>
    </w:p>
    <w:p>
      <w:pPr>
        <w:pStyle w:val="2"/>
        <w:spacing w:after="0" w:line="440" w:lineRule="exact"/>
        <w:ind w:firstLine="562" w:firstLineChars="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坚持立德树人、德智体美劳全面发展，培养思想政治坚定、德技并修，符合</w:t>
      </w:r>
      <w:r>
        <w:rPr>
          <w:rFonts w:hint="eastAsia" w:ascii="宋体" w:hAnsi="宋体" w:eastAsia="宋体" w:cs="宋体"/>
          <w:color w:val="000000" w:themeColor="text1"/>
          <w14:textFill>
            <w14:solidFill>
              <w14:schemeClr w14:val="tx1"/>
            </w14:solidFill>
          </w14:textFill>
        </w:rPr>
        <w:t>旅游行业</w:t>
      </w:r>
      <w:r>
        <w:rPr>
          <w:rFonts w:hint="eastAsia" w:ascii="宋体" w:hAnsi="宋体" w:eastAsia="宋体" w:cs="宋体"/>
          <w:color w:val="000000" w:themeColor="text1"/>
          <w:lang w:eastAsia="zh-CN"/>
          <w14:textFill>
            <w14:solidFill>
              <w14:schemeClr w14:val="tx1"/>
            </w14:solidFill>
          </w14:textFill>
        </w:rPr>
        <w:t>发展及转型升级对技能人才需求、</w:t>
      </w:r>
      <w:r>
        <w:rPr>
          <w:rFonts w:hint="eastAsia" w:ascii="宋体" w:hAnsi="宋体" w:eastAsia="宋体" w:cs="宋体"/>
          <w:color w:val="000000" w:themeColor="text1"/>
          <w14:textFill>
            <w14:solidFill>
              <w14:schemeClr w14:val="tx1"/>
            </w14:solidFill>
          </w14:textFill>
        </w:rPr>
        <w:t>具有良好的职业道德和敬业精神</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熟悉旅游行业现状并且具备基本旅游服务技能</w:t>
      </w:r>
      <w:r>
        <w:rPr>
          <w:rFonts w:hint="eastAsia" w:ascii="宋体" w:hAnsi="宋体" w:eastAsia="宋体" w:cs="宋体"/>
          <w:color w:val="000000" w:themeColor="text1"/>
          <w:lang w:eastAsia="zh-CN"/>
          <w14:textFill>
            <w14:solidFill>
              <w14:schemeClr w14:val="tx1"/>
            </w14:solidFill>
          </w14:textFill>
        </w:rPr>
        <w:t>，掌握</w:t>
      </w:r>
      <w:r>
        <w:rPr>
          <w:rFonts w:hint="eastAsia" w:ascii="宋体" w:hAnsi="宋体" w:eastAsia="宋体" w:cs="宋体"/>
          <w:color w:val="000000" w:themeColor="text1"/>
          <w14:textFill>
            <w14:solidFill>
              <w14:schemeClr w14:val="tx1"/>
            </w14:solidFill>
          </w14:textFill>
        </w:rPr>
        <w:t>旅游行业必备的基础理论知识和专门知识，</w:t>
      </w:r>
      <w:r>
        <w:rPr>
          <w:rFonts w:hint="eastAsia" w:ascii="宋体" w:hAnsi="宋体" w:eastAsia="宋体" w:cs="宋体"/>
          <w:color w:val="000000" w:themeColor="text1"/>
          <w:lang w:eastAsia="zh-CN"/>
          <w14:textFill>
            <w14:solidFill>
              <w14:schemeClr w14:val="tx1"/>
            </w14:solidFill>
          </w14:textFill>
        </w:rPr>
        <w:t>面向</w:t>
      </w:r>
      <w:r>
        <w:rPr>
          <w:rFonts w:hint="eastAsia" w:ascii="宋体" w:hAnsi="宋体" w:eastAsia="宋体" w:cs="宋体"/>
          <w:color w:val="000000" w:themeColor="text1"/>
          <w14:textFill>
            <w14:solidFill>
              <w14:schemeClr w14:val="tx1"/>
            </w14:solidFill>
          </w14:textFill>
        </w:rPr>
        <w:t>旅游行业尤其是休闲旅游行业生产、建设、管理、服务等第一线的高素质</w:t>
      </w:r>
      <w:r>
        <w:rPr>
          <w:rFonts w:hint="eastAsia" w:ascii="宋体" w:hAnsi="宋体" w:eastAsia="宋体" w:cs="宋体"/>
          <w:color w:val="000000" w:themeColor="text1"/>
          <w:lang w:eastAsia="zh-CN"/>
          <w14:textFill>
            <w14:solidFill>
              <w14:schemeClr w14:val="tx1"/>
            </w14:solidFill>
          </w14:textFill>
        </w:rPr>
        <w:t>劳动者和技术技能</w:t>
      </w:r>
      <w:r>
        <w:rPr>
          <w:rFonts w:hint="eastAsia" w:ascii="宋体" w:hAnsi="宋体" w:eastAsia="宋体" w:cs="宋体"/>
          <w:color w:val="000000" w:themeColor="text1"/>
          <w14:textFill>
            <w14:solidFill>
              <w14:schemeClr w14:val="tx1"/>
            </w14:solidFill>
          </w14:textFill>
        </w:rPr>
        <w:t>人才。</w:t>
      </w:r>
    </w:p>
    <w:p>
      <w:pPr>
        <w:pStyle w:val="2"/>
        <w:spacing w:after="0" w:line="440" w:lineRule="exact"/>
        <w:ind w:firstLine="562" w:firstLineChars="0"/>
        <w:rPr>
          <w:rFonts w:hint="eastAsia" w:ascii="宋体" w:hAnsi="宋体" w:eastAsia="宋体" w:cs="宋体"/>
          <w:color w:val="000000" w:themeColor="text1"/>
          <w:lang w:eastAsia="zh-CN"/>
          <w14:textFill>
            <w14:solidFill>
              <w14:schemeClr w14:val="tx1"/>
            </w14:solidFill>
          </w14:textFill>
        </w:rPr>
      </w:pPr>
    </w:p>
    <w:p>
      <w:pPr>
        <w:pStyle w:val="2"/>
        <w:spacing w:after="0" w:line="440" w:lineRule="exact"/>
        <w:ind w:firstLine="562" w:firstLineChars="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（二）培养规格</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本专业毕业生应在素质、知识和能力等方面达到以下要求：</w:t>
      </w:r>
    </w:p>
    <w:p>
      <w:pPr>
        <w:pStyle w:val="2"/>
        <w:spacing w:after="0" w:line="440" w:lineRule="exact"/>
        <w:ind w:firstLine="28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（1）素质</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1.坚定拥护中国共产党领导和我国社会主义制度，在习近平新时代中国特色社会主义思想指引下，践行社会主义核心价值观，具有深厚的爱国情感和中华民族自豪感。</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2.崇尚宪法、遵法守纪、崇德向善、诚实守信、尊重生命、热爱劳动，履行道德准则和行为规范，具有社会责任感和社会参与意识。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3.具有质量意识、环保意识、安全意识、服务意识、信息素养、工匠精神、创新思维。</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4.勇于奋斗、乐观向上，具有自我管理能力、职业生涯规划的意识，有较强的集体意识和团队合作精神。</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5.具有健康的体魄、心理和健全的人格，掌握基本运动知识和1~2项运动技能，养成良好的健身与卫生习惯，以及良好的行为习惯。</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1.掌握必备的思想政治理论、科学文化基础知识和中华优秀传统文化知识。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2.熟悉与本专业相关的法律法规以及环境保护、安全消防等知识。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3.掌握美学鉴赏、文艺欣赏、历史文化等方面知识。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4.掌握社会交往和沟通礼仪方面的知识。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5.掌握组织、计划、控制、决策、沟通、创新等管理学相关理论。</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6.掌握酒店行业前厅、客房、餐饮服务与运营管理等基本理论以及安全、卫生相关知识。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7.熟悉旅行社管理相关行业标准以及文明旅游、生态旅游、全域旅游等从业基本知识。</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（3）能力</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1.系统掌握本专业的基础理论、基本技能和基本方法；</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2.具有较强的语言与文字表达、人际沟通及良好的服务礼仪；</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3.具备较强的计算机应用能力和外语听说能力；</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4.熟悉我国的旅游法规和相关的管理条例；</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5.了解本学科的发展前沿，具有科学研究的初步能力；</w:t>
      </w:r>
    </w:p>
    <w:p>
      <w:pPr>
        <w:pStyle w:val="2"/>
        <w:spacing w:after="0" w:line="440" w:lineRule="exact"/>
        <w:ind w:firstLine="56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6.具有良好的人文素质，具有健全的人格和良好的心理素质，具有较强的创新精神和实践能力。</w:t>
      </w:r>
    </w:p>
    <w:p>
      <w:pPr>
        <w:pStyle w:val="2"/>
        <w:spacing w:after="0" w:line="440" w:lineRule="exact"/>
        <w:ind w:firstLine="0" w:firstLineChars="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六、课程设置及要求</w:t>
      </w:r>
    </w:p>
    <w:p>
      <w:pPr>
        <w:pStyle w:val="2"/>
        <w:spacing w:after="0" w:line="440" w:lineRule="exact"/>
        <w:ind w:firstLine="560" w:firstLineChars="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主要包括公共基础课程和专业（技能）课程。</w:t>
      </w:r>
    </w:p>
    <w:p>
      <w:pPr>
        <w:pStyle w:val="2"/>
        <w:spacing w:after="0" w:line="440" w:lineRule="exact"/>
        <w:ind w:firstLine="560" w:firstLineChars="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（一）公共基础课程</w:t>
      </w:r>
    </w:p>
    <w:p>
      <w:pPr>
        <w:spacing w:line="440" w:lineRule="exact"/>
        <w:ind w:firstLine="560" w:firstLineChars="200"/>
        <w:jc w:val="lef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将思想政治理论课（“毛泽东思想和中国特色社会主义理论体系概论”、“思想道德修养与法律基础”、“形势与政策”）、 体育、军事课、心理健康教育等课程列为公共基础必修课程，并将马克思主义理论类课程、党史国史、中华优秀传统文化、职业发展与就业指导、创新创业教育、信息技术、语文、数学、外语、健康教育、美育课程、职业素养等列为必修课或限定选修课。 </w:t>
      </w:r>
    </w:p>
    <w:p>
      <w:pPr>
        <w:spacing w:line="440" w:lineRule="exact"/>
        <w:ind w:firstLine="476" w:firstLineChars="17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根据贵州省相关文件要求，将《贵州省情》等地方课程列入必修课或限定选修课。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ind w:firstLine="20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思想道德修养与法律基础</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lang w:val="en-US"/>
              </w:rPr>
            </w:pPr>
            <w:r>
              <w:rPr>
                <w:rFonts w:hint="eastAsia" w:ascii="宋体" w:hAnsi="宋体" w:eastAsia="宋体" w:cs="宋体"/>
                <w:sz w:val="24"/>
                <w:szCs w:val="24"/>
              </w:rPr>
              <w:t>理论：</w:t>
            </w:r>
            <w:r>
              <w:rPr>
                <w:rFonts w:hint="eastAsia" w:ascii="宋体" w:hAnsi="宋体" w:eastAsia="宋体" w:cs="宋体"/>
                <w:sz w:val="24"/>
                <w:szCs w:val="24"/>
                <w:lang w:val="en-US" w:eastAsia="zh-CN"/>
              </w:rPr>
              <w:t>38</w:t>
            </w:r>
          </w:p>
          <w:p>
            <w:pPr>
              <w:widowControl/>
              <w:adjustRightInd w:val="0"/>
              <w:snapToGrid w:val="0"/>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rPr>
              <w:t>实践：</w:t>
            </w:r>
            <w:r>
              <w:rPr>
                <w:rFonts w:hint="eastAsia" w:ascii="宋体" w:hAnsi="宋体" w:eastAsia="宋体" w:cs="宋体"/>
                <w:sz w:val="24"/>
                <w:szCs w:val="24"/>
                <w:lang w:val="en-US" w:eastAsia="zh-CN"/>
              </w:rPr>
              <w:t>16</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1.专业能力目标：</w:t>
            </w:r>
            <w:r>
              <w:rPr>
                <w:rFonts w:hint="eastAsia" w:ascii="宋体" w:hAnsi="宋体" w:eastAsia="宋体" w:cs="宋体"/>
                <w:sz w:val="24"/>
                <w:szCs w:val="24"/>
                <w:lang w:val="en-US" w:eastAsia="zh-CN"/>
              </w:rPr>
              <w:t>“思想道德修养与法律基础”课旨在运用辩证唯物主义和历史唯物主义世界观和方法论，引导大学生树立正确的世界观、人生观、价值观、道德观和法治观，解决成长成才过程中遇到的实际问题，更好适应大学生活，促进德智体美劳全面发展。中央马克思主义理论研究和建设工程统编重点教材《思想道德修养与法律基础（2018版）》教材是教学的基本依据。</w:t>
            </w:r>
          </w:p>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方法能力目标：帮助学生解决面对大学新生活而出现的思想困惑，以社会主义核心价值观为引领，引导大学生树立正确的世界观、人生观、价值观、道德观和法治观，提高学生的思想道德素质和法律素质，培养学生良好的职业素养，为实现学院各专业培养具有较强社会适应能力的高素质技术技能人才的培养目标服务。</w:t>
            </w:r>
          </w:p>
          <w:p>
            <w:pPr>
              <w:widowControl/>
              <w:spacing w:line="440" w:lineRule="exact"/>
              <w:ind w:firstLine="468" w:firstLineChars="195"/>
              <w:jc w:val="left"/>
              <w:rPr>
                <w:rFonts w:hint="eastAsia" w:ascii="宋体" w:hAnsi="宋体" w:eastAsia="宋体" w:cs="宋体"/>
                <w:sz w:val="24"/>
                <w:szCs w:val="24"/>
                <w:lang w:eastAsia="zh-CN"/>
              </w:rPr>
            </w:pPr>
            <w:r>
              <w:rPr>
                <w:rFonts w:hint="eastAsia" w:ascii="宋体" w:hAnsi="宋体" w:eastAsia="宋体" w:cs="宋体"/>
                <w:sz w:val="24"/>
                <w:szCs w:val="24"/>
              </w:rPr>
              <w:t>3.社会能力目标：</w:t>
            </w:r>
            <w:r>
              <w:rPr>
                <w:rFonts w:hint="eastAsia" w:ascii="宋体" w:hAnsi="宋体" w:eastAsia="宋体" w:cs="宋体"/>
                <w:sz w:val="24"/>
                <w:szCs w:val="24"/>
                <w:lang w:eastAsia="zh-CN"/>
              </w:rPr>
              <w:t>理论联系实际，让学生学会运用辩证唯物主义和历史唯物主义分析和解决问题，增强学生的思想道德素质和法治意识，培育中国特色社会主义事业的合格建设者和接班人。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绪论</w:t>
            </w:r>
          </w:p>
        </w:tc>
        <w:tc>
          <w:tcPr>
            <w:tcW w:w="4048" w:type="dxa"/>
            <w:gridSpan w:val="2"/>
          </w:tcPr>
          <w:p>
            <w:pPr>
              <w:widowControl w:val="0"/>
              <w:numPr>
                <w:ilvl w:val="0"/>
                <w:numId w:val="0"/>
              </w:numPr>
              <w:spacing w:after="12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1、我们处在中国特色社会主义新时代</w:t>
            </w:r>
          </w:p>
          <w:p>
            <w:pPr>
              <w:widowControl w:val="0"/>
              <w:numPr>
                <w:ilvl w:val="0"/>
                <w:numId w:val="0"/>
              </w:numPr>
              <w:spacing w:after="12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2、时代新人要以民族复兴为己任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第一章</w:t>
            </w:r>
            <w:r>
              <w:rPr>
                <w:rFonts w:hint="eastAsia" w:ascii="宋体" w:hAnsi="宋体" w:eastAsia="宋体" w:cs="宋体"/>
                <w:sz w:val="24"/>
                <w:szCs w:val="24"/>
                <w:lang w:val="en-US" w:eastAsia="zh-CN"/>
              </w:rPr>
              <w:t xml:space="preserve"> 人生的青春之问</w:t>
            </w:r>
          </w:p>
        </w:tc>
        <w:tc>
          <w:tcPr>
            <w:tcW w:w="4048" w:type="dxa"/>
            <w:gridSpan w:val="2"/>
          </w:tcPr>
          <w:p>
            <w:pPr>
              <w:widowControl w:val="0"/>
              <w:numPr>
                <w:ilvl w:val="0"/>
                <w:numId w:val="1"/>
              </w:numPr>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人生观是对人生的总看法</w:t>
            </w:r>
          </w:p>
          <w:p>
            <w:pPr>
              <w:widowControl w:val="0"/>
              <w:numPr>
                <w:ilvl w:val="0"/>
                <w:numId w:val="1"/>
              </w:numPr>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正确的人生观</w:t>
            </w:r>
          </w:p>
          <w:p>
            <w:pPr>
              <w:widowControl w:val="0"/>
              <w:numPr>
                <w:ilvl w:val="0"/>
                <w:numId w:val="1"/>
              </w:numPr>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创造有意义的人生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val="en-US" w:eastAsia="zh-CN"/>
              </w:rPr>
              <w:t xml:space="preserve"> 坚定理想信念</w:t>
            </w:r>
          </w:p>
        </w:tc>
        <w:tc>
          <w:tcPr>
            <w:tcW w:w="4048" w:type="dxa"/>
            <w:gridSpan w:val="2"/>
          </w:tcPr>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1、理想信念的内涵及重要性</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2、崇高的理想信念</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3、在实现中国梦的实践中放飞青春梦想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val="0"/>
              <w:ind w:firstLine="0"/>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第三章</w:t>
            </w:r>
            <w:r>
              <w:rPr>
                <w:rFonts w:hint="eastAsia" w:ascii="宋体" w:hAnsi="宋体" w:eastAsia="宋体" w:cs="宋体"/>
                <w:sz w:val="24"/>
                <w:szCs w:val="24"/>
                <w:lang w:val="en-US" w:eastAsia="zh-CN"/>
              </w:rPr>
              <w:t xml:space="preserve"> 弘扬中国精神</w:t>
            </w:r>
          </w:p>
        </w:tc>
        <w:tc>
          <w:tcPr>
            <w:tcW w:w="4048" w:type="dxa"/>
            <w:gridSpan w:val="2"/>
          </w:tcPr>
          <w:p>
            <w:pPr>
              <w:widowControl w:val="0"/>
              <w:spacing w:after="120"/>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1、中国精神是兴国强国之魂</w:t>
            </w:r>
          </w:p>
          <w:p>
            <w:pPr>
              <w:widowControl w:val="0"/>
              <w:spacing w:after="120"/>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2、爱国主义及其时代要求</w:t>
            </w:r>
          </w:p>
          <w:p>
            <w:pPr>
              <w:widowControl w:val="0"/>
              <w:spacing w:after="120"/>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3、让改革创新成为青春远航的动力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0"/>
              <w:jc w:val="both"/>
              <w:rPr>
                <w:rFonts w:hint="eastAsia" w:ascii="宋体" w:hAnsi="宋体" w:eastAsia="宋体" w:cs="宋体"/>
                <w:sz w:val="24"/>
                <w:szCs w:val="24"/>
                <w:lang w:eastAsia="zh-CN"/>
              </w:rPr>
            </w:pPr>
          </w:p>
          <w:p>
            <w:pPr>
              <w:widowControl/>
              <w:spacing w:line="440" w:lineRule="exact"/>
              <w:ind w:firstLine="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val="en-US" w:eastAsia="zh-CN"/>
              </w:rPr>
              <w:t xml:space="preserve"> 践行社会主义核心价值观</w:t>
            </w:r>
          </w:p>
        </w:tc>
        <w:tc>
          <w:tcPr>
            <w:tcW w:w="4048" w:type="dxa"/>
            <w:gridSpan w:val="2"/>
          </w:tcPr>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1、全体人民共同的价值追求</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2、坚定价值观自信</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3、做社会主义核心价值观的的积极践行者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val="en-US" w:eastAsia="zh-CN"/>
              </w:rPr>
              <w:t xml:space="preserve"> 明大德守公德严私德</w:t>
            </w:r>
          </w:p>
        </w:tc>
        <w:tc>
          <w:tcPr>
            <w:tcW w:w="4048" w:type="dxa"/>
            <w:gridSpan w:val="2"/>
          </w:tcPr>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1、道德及其变化发展</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2、吸收借鉴优秀道德成果</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3、遵守公民道德准则</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4、向上向善、知行合一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0"/>
              <w:jc w:val="both"/>
              <w:rPr>
                <w:rFonts w:hint="eastAsia" w:ascii="宋体" w:hAnsi="宋体" w:eastAsia="宋体" w:cs="宋体"/>
                <w:sz w:val="24"/>
                <w:szCs w:val="24"/>
                <w:lang w:eastAsia="zh-CN"/>
              </w:rPr>
            </w:pPr>
          </w:p>
          <w:p>
            <w:pPr>
              <w:widowControl/>
              <w:spacing w:line="440" w:lineRule="exact"/>
              <w:ind w:firstLine="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val="en-US" w:eastAsia="zh-CN"/>
              </w:rPr>
              <w:t xml:space="preserve"> 尊法学法守法用法</w:t>
            </w:r>
          </w:p>
        </w:tc>
        <w:tc>
          <w:tcPr>
            <w:tcW w:w="4048" w:type="dxa"/>
            <w:gridSpan w:val="2"/>
          </w:tcPr>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1、社会主义法律的特征和运行</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2、以宪法为核心的中国特色社会主义法律体系</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3、建设中国特色社会主义法治体系</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4、坚持走中国特色社会主义法治道路</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5、培养法治思维</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6、依法行使权利与履行义务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以中宣部、教育部有关文件精神为指导，紧紧抓住本课程严谨的理论性、鲜明的实践性、具体的针对性的特点，从高素质技术技能人才培养目标出发，着眼于学生思想道德素质、法律素质和职业素养的提高，以“素质本位，服务专业”为理念，依据公共课教学“必须”“够用”的原则，我们确定了课程设计坚持理论教学与实践教学相结合的总体思路。</w:t>
            </w:r>
          </w:p>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具体通过两个结合来实现高职思想政治理论课从“知性教育”向“知行合一”的行动教学转变。</w:t>
            </w:r>
          </w:p>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1.课堂教学与课外活动相结合。课堂教学延伸到课外，实现学生的自我教育。</w:t>
            </w:r>
          </w:p>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2.校内教学与校外实践相结合。引导学生了解社会现实，关注社会热点，为未来更好的适应社会做准备。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numPr>
                <w:ilvl w:val="0"/>
                <w:numId w:val="2"/>
              </w:numPr>
              <w:adjustRightInd w:val="0"/>
              <w:snapToGrid w:val="0"/>
              <w:spacing w:line="440" w:lineRule="exact"/>
              <w:ind w:left="357" w:hanging="357"/>
              <w:jc w:val="left"/>
              <w:rPr>
                <w:rFonts w:hint="eastAsia" w:ascii="宋体" w:hAnsi="宋体" w:eastAsia="宋体" w:cs="宋体"/>
                <w:sz w:val="24"/>
                <w:szCs w:val="24"/>
              </w:rPr>
            </w:pPr>
            <w:r>
              <w:rPr>
                <w:rFonts w:hint="eastAsia" w:ascii="宋体" w:hAnsi="宋体" w:eastAsia="宋体" w:cs="宋体"/>
                <w:sz w:val="24"/>
                <w:szCs w:val="24"/>
              </w:rPr>
              <w:t>教学媒体</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教室多媒体、QQ群、在线教育平台</w:t>
            </w:r>
          </w:p>
          <w:p>
            <w:pPr>
              <w:widowControl/>
              <w:numPr>
                <w:ilvl w:val="0"/>
                <w:numId w:val="2"/>
              </w:numPr>
              <w:adjustRightInd w:val="0"/>
              <w:snapToGrid w:val="0"/>
              <w:spacing w:line="440" w:lineRule="exact"/>
              <w:ind w:left="357" w:hanging="357"/>
              <w:jc w:val="left"/>
              <w:rPr>
                <w:rFonts w:hint="eastAsia" w:ascii="宋体" w:hAnsi="宋体" w:eastAsia="宋体" w:cs="宋体"/>
                <w:sz w:val="24"/>
                <w:szCs w:val="24"/>
              </w:rPr>
            </w:pPr>
            <w:r>
              <w:rPr>
                <w:rFonts w:hint="eastAsia" w:ascii="宋体" w:hAnsi="宋体" w:eastAsia="宋体" w:cs="宋体"/>
                <w:sz w:val="24"/>
                <w:szCs w:val="24"/>
              </w:rPr>
              <w:t>教学场景</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线下教室课堂、线上教学平台</w:t>
            </w:r>
          </w:p>
          <w:p>
            <w:pPr>
              <w:widowControl/>
              <w:numPr>
                <w:ilvl w:val="0"/>
                <w:numId w:val="2"/>
              </w:numPr>
              <w:adjustRightInd w:val="0"/>
              <w:snapToGrid w:val="0"/>
              <w:spacing w:line="440" w:lineRule="exact"/>
              <w:ind w:left="357" w:hanging="357"/>
              <w:jc w:val="left"/>
              <w:rPr>
                <w:rFonts w:hint="eastAsia" w:ascii="宋体" w:hAnsi="宋体" w:eastAsia="宋体" w:cs="宋体"/>
                <w:sz w:val="24"/>
                <w:szCs w:val="24"/>
              </w:rPr>
            </w:pPr>
            <w:r>
              <w:rPr>
                <w:rFonts w:hint="eastAsia" w:ascii="宋体" w:hAnsi="宋体" w:eastAsia="宋体" w:cs="宋体"/>
                <w:sz w:val="24"/>
                <w:szCs w:val="24"/>
              </w:rPr>
              <w:t>工具设备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多媒体、电脑、多媒体播放媒介</w:t>
            </w:r>
          </w:p>
          <w:p>
            <w:pPr>
              <w:widowControl/>
              <w:numPr>
                <w:ilvl w:val="0"/>
                <w:numId w:val="2"/>
              </w:numPr>
              <w:adjustRightInd w:val="0"/>
              <w:snapToGrid w:val="0"/>
              <w:spacing w:line="440" w:lineRule="exact"/>
              <w:ind w:left="357" w:hanging="357"/>
              <w:jc w:val="left"/>
              <w:rPr>
                <w:rFonts w:hint="eastAsia" w:ascii="宋体" w:hAnsi="宋体" w:eastAsia="宋体" w:cs="宋体"/>
                <w:sz w:val="24"/>
                <w:szCs w:val="24"/>
              </w:rPr>
            </w:pPr>
            <w:r>
              <w:rPr>
                <w:rFonts w:hint="eastAsia" w:ascii="宋体" w:hAnsi="宋体" w:eastAsia="宋体" w:cs="宋体"/>
                <w:sz w:val="24"/>
                <w:szCs w:val="24"/>
              </w:rPr>
              <w:t>教师配备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扩音器、翻页笔、电脑、教材，教参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lang w:val="en-US" w:eastAsia="zh-CN"/>
              </w:rPr>
              <w:t>教学</w:t>
            </w:r>
            <w:r>
              <w:rPr>
                <w:rFonts w:hint="eastAsia" w:ascii="宋体" w:hAnsi="宋体" w:eastAsia="宋体" w:cs="宋体"/>
                <w:sz w:val="24"/>
                <w:szCs w:val="24"/>
              </w:rPr>
              <w:t>中，</w:t>
            </w:r>
            <w:r>
              <w:rPr>
                <w:rFonts w:hint="eastAsia" w:ascii="宋体" w:hAnsi="宋体" w:eastAsia="宋体" w:cs="宋体"/>
                <w:sz w:val="24"/>
                <w:szCs w:val="24"/>
                <w:lang w:val="en-US" w:eastAsia="zh-CN"/>
              </w:rPr>
              <w:t>要求</w:t>
            </w:r>
            <w:r>
              <w:rPr>
                <w:rFonts w:hint="eastAsia" w:ascii="宋体" w:hAnsi="宋体" w:eastAsia="宋体" w:cs="宋体"/>
                <w:sz w:val="24"/>
                <w:szCs w:val="24"/>
              </w:rPr>
              <w:t>教师认真组织教学，严把师德师风，加强对学生的考勤和学习过程的监督。</w:t>
            </w:r>
            <w:r>
              <w:rPr>
                <w:rFonts w:hint="eastAsia" w:ascii="宋体" w:hAnsi="宋体" w:eastAsia="宋体" w:cs="宋体"/>
                <w:sz w:val="24"/>
                <w:szCs w:val="24"/>
                <w:lang w:eastAsia="zh-CN"/>
              </w:rPr>
              <w:t>通过考核平时成绩（含实践成绩）、半期考核和期末统一闭卷考试的方式对学生进行考核。</w:t>
            </w:r>
            <w:r>
              <w:rPr>
                <w:rFonts w:hint="eastAsia" w:ascii="宋体" w:hAnsi="宋体" w:eastAsia="宋体" w:cs="宋体"/>
                <w:sz w:val="24"/>
                <w:szCs w:val="24"/>
              </w:rPr>
              <w:t>在期末结束时</w:t>
            </w:r>
            <w:r>
              <w:rPr>
                <w:rFonts w:hint="eastAsia" w:ascii="宋体" w:hAnsi="宋体" w:eastAsia="宋体" w:cs="宋体"/>
                <w:sz w:val="24"/>
                <w:szCs w:val="24"/>
                <w:lang w:eastAsia="zh-CN"/>
              </w:rPr>
              <w:t>教师按学院要求及时录入学生成绩并将半期考核相关资料交</w:t>
            </w:r>
            <w:r>
              <w:rPr>
                <w:rFonts w:hint="eastAsia" w:ascii="宋体" w:hAnsi="宋体" w:eastAsia="宋体" w:cs="宋体"/>
                <w:sz w:val="24"/>
                <w:szCs w:val="24"/>
              </w:rPr>
              <w:t>基础部</w:t>
            </w:r>
            <w:r>
              <w:rPr>
                <w:rFonts w:hint="eastAsia" w:ascii="宋体" w:hAnsi="宋体" w:eastAsia="宋体" w:cs="宋体"/>
                <w:sz w:val="24"/>
                <w:szCs w:val="24"/>
                <w:lang w:eastAsia="zh-CN"/>
              </w:rPr>
              <w:t>，将</w:t>
            </w:r>
            <w:r>
              <w:rPr>
                <w:rFonts w:hint="eastAsia" w:ascii="宋体" w:hAnsi="宋体" w:eastAsia="宋体" w:cs="宋体"/>
                <w:sz w:val="24"/>
                <w:szCs w:val="24"/>
              </w:rPr>
              <w:t>学期考核纸质材料交各分院教务科。所有材料各分院教务科汇总后交基础部存档备查。</w:t>
            </w:r>
          </w:p>
        </w:tc>
      </w:tr>
    </w:tbl>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ind w:firstLine="20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毛泽东思想和中国特色社会主义理论体系概论</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理论：</w:t>
            </w:r>
            <w:r>
              <w:rPr>
                <w:rFonts w:hint="eastAsia" w:ascii="宋体" w:hAnsi="宋体" w:eastAsia="宋体" w:cs="宋体"/>
                <w:sz w:val="24"/>
                <w:szCs w:val="24"/>
                <w:lang w:val="en-US" w:eastAsia="zh-CN"/>
              </w:rPr>
              <w:t>62</w:t>
            </w:r>
            <w:r>
              <w:rPr>
                <w:rFonts w:hint="eastAsia" w:ascii="宋体" w:hAnsi="宋体" w:eastAsia="宋体" w:cs="宋体"/>
                <w:sz w:val="24"/>
                <w:szCs w:val="24"/>
              </w:rPr>
              <w:t xml:space="preserve"> </w:t>
            </w:r>
          </w:p>
          <w:p>
            <w:pPr>
              <w:widowControl/>
              <w:adjustRightInd w:val="0"/>
              <w:snapToGrid w:val="0"/>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rPr>
              <w:t>实践：</w:t>
            </w:r>
            <w:r>
              <w:rPr>
                <w:rFonts w:hint="eastAsia" w:ascii="宋体" w:hAnsi="宋体" w:eastAsia="宋体" w:cs="宋体"/>
                <w:sz w:val="24"/>
                <w:szCs w:val="24"/>
                <w:lang w:val="en-US" w:eastAsia="zh-CN"/>
              </w:rPr>
              <w:t>18</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keepNext w:val="0"/>
              <w:keepLines w:val="0"/>
              <w:pageBreakBefore w:val="0"/>
              <w:widowControl w:val="0"/>
              <w:kinsoku/>
              <w:wordWrap/>
              <w:overflowPunct/>
              <w:topLinePunct w:val="0"/>
              <w:autoSpaceDE/>
              <w:autoSpaceDN/>
              <w:bidi w:val="0"/>
              <w:adjustRightInd/>
              <w:snapToGrid/>
              <w:spacing w:line="300" w:lineRule="auto"/>
              <w:ind w:left="0" w:leftChars="0"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1.专业能力目标：</w:t>
            </w:r>
            <w:r>
              <w:rPr>
                <w:rFonts w:hint="eastAsia" w:ascii="宋体" w:hAnsi="宋体" w:eastAsia="宋体" w:cs="宋体"/>
                <w:sz w:val="24"/>
                <w:szCs w:val="24"/>
                <w:lang w:val="en-US" w:eastAsia="zh-CN"/>
              </w:rPr>
              <w:t>“毛泽东思想和中国和中国特色社会主义理论体系概论”课程旨在从整体上阐释马克思主义中国化理论成果，既体现马克思主义中国化理论成果形成和发展的历史逻辑，又体现这些理论成果的整体性，又体现各个理论成果的重点和难点，力求全面准备地理解毛泽东思想和中国特色社会主义理论体系，尤其是马克思主义中国化的最新成果——习近平新时代中国特色社会主义思想，引导学生增强中国特色社会主义道路自信、制度自信、文化自信、努力培养德智体美劳全面反战的社会主义建设者和接班人。中央马克思主义理论研究和建设工程统编重点教材《毛泽东思想和中国特色社会主义理论体系概论（2018版）》是教学的基本依据。</w:t>
            </w:r>
          </w:p>
          <w:p>
            <w:pPr>
              <w:widowControl/>
              <w:spacing w:line="440" w:lineRule="exact"/>
              <w:ind w:firstLine="468" w:firstLineChars="195"/>
              <w:jc w:val="left"/>
              <w:rPr>
                <w:rFonts w:hint="eastAsia" w:ascii="宋体" w:hAnsi="宋体" w:eastAsia="宋体" w:cs="宋体"/>
                <w:sz w:val="24"/>
                <w:szCs w:val="24"/>
                <w:lang w:val="en-US" w:eastAsia="zh-CN"/>
              </w:rPr>
            </w:pPr>
            <w:r>
              <w:rPr>
                <w:rFonts w:hint="eastAsia" w:ascii="宋体" w:hAnsi="宋体" w:eastAsia="宋体" w:cs="宋体"/>
                <w:sz w:val="24"/>
                <w:szCs w:val="24"/>
              </w:rPr>
              <w:t>2.方法能力目标：</w:t>
            </w:r>
            <w:r>
              <w:rPr>
                <w:rFonts w:hint="eastAsia" w:ascii="宋体" w:hAnsi="宋体" w:eastAsia="宋体" w:cs="宋体"/>
                <w:sz w:val="24"/>
                <w:szCs w:val="24"/>
                <w:lang w:eastAsia="zh-CN"/>
              </w:rPr>
              <w:t>通过教学，帮助学生理解马克思主义中国化的科学内涵和历史进程，理解马克思主义中国的三大理论成果和最新成果在指导中国革命建设的中重要历史地位和作用，掌握马克思主义中国化的基本理论和精神实质，树立建设中国特色社会主义的坚定信念。</w:t>
            </w:r>
          </w:p>
          <w:p>
            <w:pPr>
              <w:widowControl/>
              <w:spacing w:line="440" w:lineRule="exact"/>
              <w:ind w:firstLine="468" w:firstLineChars="195"/>
              <w:jc w:val="left"/>
              <w:rPr>
                <w:rFonts w:hint="eastAsia" w:ascii="宋体" w:hAnsi="宋体" w:eastAsia="宋体" w:cs="宋体"/>
                <w:sz w:val="24"/>
                <w:szCs w:val="24"/>
                <w:lang w:eastAsia="zh-CN"/>
              </w:rPr>
            </w:pPr>
            <w:r>
              <w:rPr>
                <w:rFonts w:hint="eastAsia" w:ascii="宋体" w:hAnsi="宋体" w:eastAsia="宋体" w:cs="宋体"/>
                <w:sz w:val="24"/>
                <w:szCs w:val="24"/>
              </w:rPr>
              <w:t>3.社会能力目标：</w:t>
            </w:r>
            <w:r>
              <w:rPr>
                <w:rFonts w:hint="eastAsia" w:ascii="宋体" w:hAnsi="宋体" w:eastAsia="宋体" w:cs="宋体"/>
                <w:sz w:val="24"/>
                <w:szCs w:val="24"/>
                <w:lang w:eastAsia="zh-CN"/>
              </w:rPr>
              <w:t>理论联系实际，学会运用马克思主义立场、观点和方法分析和解决问题，增强执行党的基本路线和基本纲领的自觉性和坚定性，积极投身中华民族伟大复兴的宏伟蓝图中。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第一章毛泽东思想及其历史地位</w:t>
            </w:r>
          </w:p>
        </w:tc>
        <w:tc>
          <w:tcPr>
            <w:tcW w:w="4048" w:type="dxa"/>
            <w:gridSpan w:val="2"/>
          </w:tcPr>
          <w:p>
            <w:pPr>
              <w:widowControl/>
              <w:numPr>
                <w:ilvl w:val="0"/>
                <w:numId w:val="3"/>
              </w:numPr>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毛泽东思想的形成和发展</w:t>
            </w:r>
          </w:p>
          <w:p>
            <w:pPr>
              <w:widowControl w:val="0"/>
              <w:numPr>
                <w:ilvl w:val="0"/>
                <w:numId w:val="3"/>
              </w:numPr>
              <w:spacing w:after="120"/>
              <w:ind w:left="0" w:leftChars="0" w:firstLine="20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毛泽东思想的主要内容和活的灵魂</w:t>
            </w:r>
          </w:p>
          <w:p>
            <w:pPr>
              <w:widowControl w:val="0"/>
              <w:numPr>
                <w:ilvl w:val="0"/>
                <w:numId w:val="3"/>
              </w:numPr>
              <w:spacing w:after="120"/>
              <w:ind w:left="0" w:leftChars="0" w:firstLine="20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毛泽东思想的历史地位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val="en-US" w:eastAsia="zh-CN"/>
              </w:rPr>
              <w:t xml:space="preserve"> 新民主主义革命理论</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1、新民主主义革命理论形成的依据</w:t>
            </w:r>
          </w:p>
          <w:p>
            <w:pPr>
              <w:widowControl w:val="0"/>
              <w:spacing w:after="120"/>
              <w:ind w:firstLine="240" w:firstLineChars="1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2、新民主主义革命的总路线和基本纲领</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3、新民主主义革命的道路和基本经验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第三章</w:t>
            </w:r>
            <w:r>
              <w:rPr>
                <w:rFonts w:hint="eastAsia" w:ascii="宋体" w:hAnsi="宋体" w:eastAsia="宋体" w:cs="宋体"/>
                <w:sz w:val="24"/>
                <w:szCs w:val="24"/>
                <w:lang w:val="en-US" w:eastAsia="zh-CN"/>
              </w:rPr>
              <w:t xml:space="preserve"> 社会主义改造理论</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1、从新民主主义到社会主义转变</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2、社会主义改造道路和历史经验</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3、社会主义制度在中国的确立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val="0"/>
              <w:ind w:firstLine="0"/>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val="en-US" w:eastAsia="zh-CN"/>
              </w:rPr>
              <w:t xml:space="preserve"> 社会主义建设道路初步探索的理论成果</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1、初步探索的重要理论成果</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2、初步探索的意义和经验教训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0"/>
              <w:jc w:val="both"/>
              <w:rPr>
                <w:rFonts w:hint="eastAsia" w:ascii="宋体" w:hAnsi="宋体" w:eastAsia="宋体" w:cs="宋体"/>
                <w:sz w:val="24"/>
                <w:szCs w:val="24"/>
                <w:lang w:eastAsia="zh-CN"/>
              </w:rPr>
            </w:pPr>
          </w:p>
          <w:p>
            <w:pPr>
              <w:widowControl/>
              <w:spacing w:line="440" w:lineRule="exact"/>
              <w:ind w:firstLine="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val="en-US" w:eastAsia="zh-CN"/>
              </w:rPr>
              <w:t xml:space="preserve"> 邓小平理论</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1、邓小平理论的形成</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2、邓小平理论的基本问题和主要内容</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3、邓小平理论的历史地位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val="en-US" w:eastAsia="zh-CN"/>
              </w:rPr>
              <w:t xml:space="preserve"> “三个代表”重要思想</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1、“三个代表”重要思想的形成</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2、“三个代表”重要思想的核心观点和主要内容</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3、“三个代表”重要思想的历史地位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0"/>
              <w:jc w:val="both"/>
              <w:rPr>
                <w:rFonts w:hint="eastAsia" w:ascii="宋体" w:hAnsi="宋体" w:eastAsia="宋体" w:cs="宋体"/>
                <w:sz w:val="24"/>
                <w:szCs w:val="24"/>
                <w:lang w:eastAsia="zh-CN"/>
              </w:rPr>
            </w:pPr>
          </w:p>
          <w:p>
            <w:pPr>
              <w:widowControl/>
              <w:spacing w:line="440" w:lineRule="exact"/>
              <w:ind w:firstLine="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val="en-US" w:eastAsia="zh-CN"/>
              </w:rPr>
              <w:t xml:space="preserve"> 科学发展观</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1、科学发展观的形成</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2、科学发展观的科学内涵和主要内容</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3、科学发展观的历史地位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第八章</w:t>
            </w:r>
            <w:r>
              <w:rPr>
                <w:rFonts w:hint="eastAsia" w:ascii="宋体" w:hAnsi="宋体" w:eastAsia="宋体" w:cs="宋体"/>
                <w:sz w:val="24"/>
                <w:szCs w:val="24"/>
                <w:lang w:val="en-US" w:eastAsia="zh-CN"/>
              </w:rPr>
              <w:t xml:space="preserve"> 习近平新时代中国特色社会主义思想及其历史地位</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1、中国特色社会主义进入新时代</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2、习近平新时代中国特色社会主义思想的主要内容</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3、习近平新时代中国特色社会主义思想的历史地位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360" w:lineRule="auto"/>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第九章</w:t>
            </w:r>
            <w:r>
              <w:rPr>
                <w:rFonts w:hint="eastAsia" w:ascii="宋体" w:hAnsi="宋体" w:eastAsia="宋体" w:cs="宋体"/>
                <w:sz w:val="24"/>
                <w:szCs w:val="24"/>
                <w:lang w:val="en-US" w:eastAsia="zh-CN"/>
              </w:rPr>
              <w:t xml:space="preserve"> 坚持和发展中国特色社会主义的总任务</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1、实现中华民族伟大复兴的中国梦</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2、建成社会主义现代化强国的战略安排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240" w:lineRule="auto"/>
              <w:ind w:firstLine="200"/>
              <w:jc w:val="center"/>
              <w:rPr>
                <w:rFonts w:hint="eastAsia" w:ascii="宋体" w:hAnsi="宋体" w:eastAsia="宋体" w:cs="宋体"/>
                <w:sz w:val="24"/>
                <w:szCs w:val="24"/>
                <w:lang w:eastAsia="zh-CN"/>
              </w:rPr>
            </w:pPr>
          </w:p>
          <w:p>
            <w:pPr>
              <w:widowControl/>
              <w:spacing w:line="240" w:lineRule="auto"/>
              <w:ind w:firstLine="200"/>
              <w:jc w:val="center"/>
              <w:rPr>
                <w:rFonts w:hint="eastAsia" w:ascii="宋体" w:hAnsi="宋体" w:eastAsia="宋体" w:cs="宋体"/>
                <w:sz w:val="24"/>
                <w:szCs w:val="24"/>
                <w:lang w:eastAsia="zh-CN"/>
              </w:rPr>
            </w:pPr>
          </w:p>
          <w:p>
            <w:pPr>
              <w:widowControl/>
              <w:spacing w:line="240" w:lineRule="auto"/>
              <w:ind w:firstLine="200"/>
              <w:jc w:val="center"/>
              <w:rPr>
                <w:rFonts w:hint="eastAsia" w:ascii="宋体" w:hAnsi="宋体" w:eastAsia="宋体" w:cs="宋体"/>
                <w:sz w:val="24"/>
                <w:szCs w:val="24"/>
                <w:lang w:eastAsia="zh-CN"/>
              </w:rPr>
            </w:pPr>
          </w:p>
          <w:p>
            <w:pPr>
              <w:widowControl/>
              <w:spacing w:line="360" w:lineRule="auto"/>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第十章</w:t>
            </w:r>
            <w:r>
              <w:rPr>
                <w:rFonts w:hint="eastAsia" w:ascii="宋体" w:hAnsi="宋体" w:eastAsia="宋体" w:cs="宋体"/>
                <w:sz w:val="24"/>
                <w:szCs w:val="24"/>
                <w:lang w:val="en-US" w:eastAsia="zh-CN"/>
              </w:rPr>
              <w:t xml:space="preserve"> “五位一体”总体布局</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1、建设现代化经济体系</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2、发展社会主义民主政治</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3、推动社会主义文化繁荣兴盛</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4、坚持在发展中保障和改善民生</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5、建设美丽中国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第十一章</w:t>
            </w:r>
            <w:r>
              <w:rPr>
                <w:rFonts w:hint="eastAsia" w:ascii="宋体" w:hAnsi="宋体" w:eastAsia="宋体" w:cs="宋体"/>
                <w:sz w:val="24"/>
                <w:szCs w:val="24"/>
                <w:lang w:val="en-US" w:eastAsia="zh-CN"/>
              </w:rPr>
              <w:t xml:space="preserve"> “四个全面”战略布局</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1、全面建成小康社会</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2、全面深化改革</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3、全面依法治国</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4、全面从严治党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第十二章</w:t>
            </w:r>
            <w:r>
              <w:rPr>
                <w:rFonts w:hint="eastAsia" w:ascii="宋体" w:hAnsi="宋体" w:eastAsia="宋体" w:cs="宋体"/>
                <w:sz w:val="24"/>
                <w:szCs w:val="24"/>
                <w:lang w:val="en-US" w:eastAsia="zh-CN"/>
              </w:rPr>
              <w:t xml:space="preserve"> 全面推进国防和军队现代化</w:t>
            </w:r>
          </w:p>
        </w:tc>
        <w:tc>
          <w:tcPr>
            <w:tcW w:w="4048" w:type="dxa"/>
            <w:gridSpan w:val="2"/>
          </w:tcPr>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1、坚持走中国特色强军之路</w:t>
            </w:r>
          </w:p>
          <w:p>
            <w:pPr>
              <w:widowControl w:val="0"/>
              <w:spacing w:after="120"/>
              <w:ind w:firstLine="240" w:firstLine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2、推动军民融合深度发展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第十三章</w:t>
            </w:r>
            <w:r>
              <w:rPr>
                <w:rFonts w:hint="eastAsia" w:ascii="宋体" w:hAnsi="宋体" w:eastAsia="宋体" w:cs="宋体"/>
                <w:sz w:val="24"/>
                <w:szCs w:val="24"/>
                <w:lang w:val="en-US" w:eastAsia="zh-CN"/>
              </w:rPr>
              <w:t xml:space="preserve"> 中国特色大国外交</w:t>
            </w:r>
          </w:p>
        </w:tc>
        <w:tc>
          <w:tcPr>
            <w:tcW w:w="4048" w:type="dxa"/>
            <w:gridSpan w:val="2"/>
          </w:tcPr>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1、坚持和平发展道路</w:t>
            </w:r>
          </w:p>
          <w:p>
            <w:pPr>
              <w:widowControl w:val="0"/>
              <w:spacing w:after="120"/>
              <w:ind w:firstLine="240" w:firstLineChars="1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2、推动构建人类命运共同体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第十四章</w:t>
            </w:r>
            <w:r>
              <w:rPr>
                <w:rFonts w:hint="eastAsia" w:ascii="宋体" w:hAnsi="宋体" w:eastAsia="宋体" w:cs="宋体"/>
                <w:sz w:val="24"/>
                <w:szCs w:val="24"/>
                <w:lang w:val="en-US" w:eastAsia="zh-CN"/>
              </w:rPr>
              <w:t xml:space="preserve"> 坚持和加强的党的领导</w:t>
            </w:r>
          </w:p>
        </w:tc>
        <w:tc>
          <w:tcPr>
            <w:tcW w:w="4048" w:type="dxa"/>
            <w:gridSpan w:val="2"/>
          </w:tcPr>
          <w:p>
            <w:pPr>
              <w:widowControl/>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1、实现中华民族伟大复兴的关键在党</w:t>
            </w:r>
          </w:p>
          <w:p>
            <w:pPr>
              <w:widowControl w:val="0"/>
              <w:spacing w:after="120"/>
              <w:ind w:firstLine="240" w:firstLineChars="1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2、坚持党对一切工作的领导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80" w:lineRule="exact"/>
              <w:ind w:firstLine="480" w:firstLineChars="200"/>
              <w:jc w:val="left"/>
              <w:rPr>
                <w:rFonts w:hint="eastAsia" w:ascii="宋体" w:hAnsi="宋体" w:eastAsia="宋体" w:cs="宋体"/>
                <w:kern w:val="0"/>
                <w:sz w:val="24"/>
                <w:szCs w:val="24"/>
              </w:rPr>
            </w:pPr>
            <w:r>
              <w:rPr>
                <w:rFonts w:hint="eastAsia" w:ascii="宋体" w:hAnsi="宋体" w:eastAsia="宋体" w:cs="宋体"/>
                <w:sz w:val="24"/>
                <w:szCs w:val="24"/>
              </w:rPr>
              <w:t>根据</w:t>
            </w:r>
            <w:r>
              <w:rPr>
                <w:rFonts w:hint="eastAsia" w:ascii="宋体" w:hAnsi="宋体" w:eastAsia="宋体" w:cs="宋体"/>
                <w:sz w:val="24"/>
                <w:szCs w:val="24"/>
                <w:lang w:eastAsia="zh-CN"/>
              </w:rPr>
              <w:t>本</w:t>
            </w:r>
            <w:r>
              <w:rPr>
                <w:rFonts w:hint="eastAsia" w:ascii="宋体" w:hAnsi="宋体" w:eastAsia="宋体" w:cs="宋体"/>
                <w:sz w:val="24"/>
                <w:szCs w:val="24"/>
              </w:rPr>
              <w:t>课程的特点，</w:t>
            </w:r>
            <w:r>
              <w:rPr>
                <w:rFonts w:hint="eastAsia" w:ascii="宋体" w:hAnsi="宋体" w:eastAsia="宋体" w:cs="宋体"/>
                <w:kern w:val="0"/>
                <w:sz w:val="24"/>
                <w:szCs w:val="24"/>
                <w:lang w:eastAsia="zh-CN"/>
              </w:rPr>
              <w:t>授课教师在教学过程中应</w:t>
            </w:r>
            <w:r>
              <w:rPr>
                <w:rFonts w:hint="eastAsia" w:ascii="宋体" w:hAnsi="宋体" w:eastAsia="宋体" w:cs="宋体"/>
                <w:kern w:val="0"/>
                <w:sz w:val="24"/>
                <w:szCs w:val="24"/>
              </w:rPr>
              <w:t>从学生专业实际出发，</w:t>
            </w:r>
            <w:r>
              <w:rPr>
                <w:rFonts w:hint="eastAsia" w:ascii="宋体" w:hAnsi="宋体" w:eastAsia="宋体" w:cs="宋体"/>
                <w:kern w:val="0"/>
                <w:sz w:val="24"/>
                <w:szCs w:val="24"/>
                <w:lang w:eastAsia="zh-CN"/>
              </w:rPr>
              <w:t>从学生能够理解把握马克思主义中国化的理论成果入手，让学生能够掌握马克思主义的观点和方法论并用于指导</w:t>
            </w:r>
            <w:r>
              <w:rPr>
                <w:rFonts w:hint="eastAsia" w:ascii="宋体" w:hAnsi="宋体" w:eastAsia="宋体" w:cs="宋体"/>
                <w:kern w:val="0"/>
                <w:sz w:val="24"/>
                <w:szCs w:val="24"/>
              </w:rPr>
              <w:t>学生解决问题</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以</w:t>
            </w:r>
            <w:r>
              <w:rPr>
                <w:rFonts w:hint="eastAsia" w:ascii="宋体" w:hAnsi="宋体" w:eastAsia="宋体" w:cs="宋体"/>
                <w:kern w:val="0"/>
                <w:sz w:val="24"/>
                <w:szCs w:val="24"/>
                <w:lang w:eastAsia="zh-CN"/>
              </w:rPr>
              <w:t>实现中华民族伟大复兴</w:t>
            </w:r>
            <w:r>
              <w:rPr>
                <w:rFonts w:hint="eastAsia" w:ascii="宋体" w:hAnsi="宋体" w:eastAsia="宋体" w:cs="宋体"/>
                <w:kern w:val="0"/>
                <w:sz w:val="24"/>
                <w:szCs w:val="24"/>
              </w:rPr>
              <w:t>为载体，划分主题教学单元和主题实践项目，发挥学生主体地位，培养学生解决实际问题的能力；</w:t>
            </w:r>
          </w:p>
          <w:p>
            <w:pPr>
              <w:widowControl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在教学方法上，以引领理念为指导，以</w:t>
            </w:r>
            <w:r>
              <w:rPr>
                <w:rFonts w:hint="eastAsia" w:ascii="宋体" w:hAnsi="宋体" w:eastAsia="宋体" w:cs="宋体"/>
                <w:kern w:val="0"/>
                <w:sz w:val="24"/>
                <w:szCs w:val="24"/>
                <w:lang w:eastAsia="zh-CN"/>
              </w:rPr>
              <w:t>帮助学生树立正确的人生导向为前提</w:t>
            </w:r>
            <w:r>
              <w:rPr>
                <w:rFonts w:hint="eastAsia" w:ascii="宋体" w:hAnsi="宋体" w:eastAsia="宋体" w:cs="宋体"/>
                <w:kern w:val="0"/>
                <w:sz w:val="24"/>
                <w:szCs w:val="24"/>
              </w:rPr>
              <w:t>，以单元教学设计为重点，探索适合高职学生特点的教学方式和方法。重在解决学生的实际问题。</w:t>
            </w:r>
            <w:r>
              <w:rPr>
                <w:rFonts w:hint="eastAsia" w:ascii="宋体" w:hAnsi="宋体" w:eastAsia="宋体" w:cs="宋体"/>
                <w:kern w:val="0"/>
                <w:sz w:val="24"/>
                <w:szCs w:val="24"/>
                <w:lang w:eastAsia="zh-CN"/>
              </w:rPr>
              <w:t>授课过程中，教师采用讨论式教学法、案例式教学法、实践教学法、多媒体教学法等。</w:t>
            </w:r>
          </w:p>
          <w:p>
            <w:pPr>
              <w:widowControl w:val="0"/>
              <w:spacing w:line="360" w:lineRule="auto"/>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讨论式教学法：一般采用两种方式进行，一是围绕教师事先拟定的思考题，让学生分析，充分研究讨论；二是由学生</w:t>
            </w:r>
            <w:r>
              <w:rPr>
                <w:rFonts w:hint="eastAsia" w:ascii="宋体" w:hAnsi="宋体" w:eastAsia="宋体" w:cs="宋体"/>
                <w:sz w:val="24"/>
                <w:szCs w:val="24"/>
                <w:lang w:eastAsia="zh-CN"/>
              </w:rPr>
              <w:t>及时</w:t>
            </w:r>
            <w:r>
              <w:rPr>
                <w:rFonts w:hint="eastAsia" w:ascii="宋体" w:hAnsi="宋体" w:eastAsia="宋体" w:cs="宋体"/>
                <w:sz w:val="24"/>
                <w:szCs w:val="24"/>
              </w:rPr>
              <w:t xml:space="preserve">提出问题，师生共同讨论。问题都是围绕教学重点和难点、社会热点来设定，促进师生、学生之间的互动。    </w:t>
            </w:r>
          </w:p>
          <w:p>
            <w:pPr>
              <w:widowControl w:val="0"/>
              <w:spacing w:line="360" w:lineRule="auto"/>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案例式教学法：通过展示具有典型意义的事件，开展反思与分享活动，促进学生对</w:t>
            </w:r>
            <w:r>
              <w:rPr>
                <w:rFonts w:hint="eastAsia" w:ascii="宋体" w:hAnsi="宋体" w:eastAsia="宋体" w:cs="宋体"/>
                <w:sz w:val="24"/>
                <w:szCs w:val="24"/>
                <w:lang w:eastAsia="zh-CN"/>
              </w:rPr>
              <w:t>马克思主义中国化的最新成果</w:t>
            </w:r>
            <w:r>
              <w:rPr>
                <w:rFonts w:hint="eastAsia" w:ascii="宋体" w:hAnsi="宋体" w:eastAsia="宋体" w:cs="宋体"/>
                <w:sz w:val="24"/>
                <w:szCs w:val="24"/>
              </w:rPr>
              <w:t>的理解</w:t>
            </w:r>
            <w:r>
              <w:rPr>
                <w:rFonts w:hint="eastAsia" w:ascii="宋体" w:hAnsi="宋体" w:eastAsia="宋体" w:cs="宋体"/>
                <w:sz w:val="24"/>
                <w:szCs w:val="24"/>
                <w:lang w:eastAsia="zh-CN"/>
              </w:rPr>
              <w:t>和</w:t>
            </w:r>
            <w:r>
              <w:rPr>
                <w:rFonts w:hint="eastAsia" w:ascii="宋体" w:hAnsi="宋体" w:eastAsia="宋体" w:cs="宋体"/>
                <w:sz w:val="24"/>
                <w:szCs w:val="24"/>
              </w:rPr>
              <w:t xml:space="preserve">把握。    </w:t>
            </w:r>
          </w:p>
          <w:p>
            <w:pPr>
              <w:widowControl w:val="0"/>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）实践</w:t>
            </w:r>
            <w:r>
              <w:rPr>
                <w:rFonts w:hint="eastAsia" w:ascii="宋体" w:hAnsi="宋体" w:eastAsia="宋体" w:cs="宋体"/>
                <w:sz w:val="24"/>
                <w:szCs w:val="24"/>
              </w:rPr>
              <w:t>教学法：课程教学中，组织学生观看与课程内容直接相关的</w:t>
            </w:r>
            <w:r>
              <w:rPr>
                <w:rFonts w:hint="eastAsia" w:ascii="宋体" w:hAnsi="宋体" w:eastAsia="宋体" w:cs="宋体"/>
                <w:sz w:val="24"/>
                <w:szCs w:val="24"/>
                <w:lang w:eastAsia="zh-CN"/>
              </w:rPr>
              <w:t>视频资料</w:t>
            </w:r>
            <w:r>
              <w:rPr>
                <w:rFonts w:hint="eastAsia" w:ascii="宋体" w:hAnsi="宋体" w:eastAsia="宋体" w:cs="宋体"/>
                <w:sz w:val="24"/>
                <w:szCs w:val="24"/>
              </w:rPr>
              <w:t>；组织学生深入</w:t>
            </w:r>
            <w:r>
              <w:rPr>
                <w:rFonts w:hint="eastAsia" w:ascii="宋体" w:hAnsi="宋体" w:eastAsia="宋体" w:cs="宋体"/>
                <w:sz w:val="24"/>
                <w:szCs w:val="24"/>
                <w:lang w:eastAsia="zh-CN"/>
              </w:rPr>
              <w:t>到爱国主义教育基地、社区、农村等地开展社会调查</w:t>
            </w:r>
            <w:r>
              <w:rPr>
                <w:rFonts w:hint="eastAsia" w:ascii="宋体" w:hAnsi="宋体" w:eastAsia="宋体" w:cs="宋体"/>
                <w:sz w:val="24"/>
                <w:szCs w:val="24"/>
              </w:rPr>
              <w:t>，使大学生更直观地了解、把握</w:t>
            </w:r>
            <w:r>
              <w:rPr>
                <w:rFonts w:hint="eastAsia" w:ascii="宋体" w:hAnsi="宋体" w:eastAsia="宋体" w:cs="宋体"/>
                <w:sz w:val="24"/>
                <w:szCs w:val="24"/>
                <w:lang w:eastAsia="zh-CN"/>
              </w:rPr>
              <w:t>中华民族的奋斗史和成长史。</w:t>
            </w:r>
          </w:p>
          <w:p>
            <w:pPr>
              <w:widowControl w:val="0"/>
              <w:spacing w:line="360" w:lineRule="auto"/>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多媒体教学：充分运用丰富的文字、</w:t>
            </w:r>
            <w:r>
              <w:rPr>
                <w:rFonts w:hint="eastAsia" w:ascii="宋体" w:hAnsi="宋体" w:eastAsia="宋体" w:cs="宋体"/>
                <w:sz w:val="24"/>
                <w:szCs w:val="24"/>
                <w:lang w:eastAsia="zh-CN"/>
              </w:rPr>
              <w:t>视频</w:t>
            </w:r>
            <w:r>
              <w:rPr>
                <w:rFonts w:hint="eastAsia" w:ascii="宋体" w:hAnsi="宋体" w:eastAsia="宋体" w:cs="宋体"/>
                <w:sz w:val="24"/>
                <w:szCs w:val="24"/>
              </w:rPr>
              <w:t>、图片、动画等内容，制作多媒体课件。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教学媒体</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教室多媒体、QQ群、在线教育平台</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教学场景</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线下教室课堂、线上教学平台</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工具设备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多媒体、电脑、多媒体播放媒介</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教师配备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扩音器、翻页笔、电脑、教材，教参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spacing w:line="440" w:lineRule="exact"/>
              <w:ind w:firstLine="468" w:firstLineChars="195"/>
              <w:jc w:val="left"/>
              <w:rPr>
                <w:rFonts w:hint="eastAsia" w:ascii="宋体" w:hAnsi="宋体" w:eastAsia="宋体" w:cs="宋体"/>
                <w:sz w:val="24"/>
                <w:szCs w:val="24"/>
              </w:rPr>
            </w:pPr>
            <w:r>
              <w:rPr>
                <w:rFonts w:hint="eastAsia" w:ascii="宋体" w:hAnsi="宋体" w:eastAsia="宋体" w:cs="宋体"/>
                <w:sz w:val="24"/>
                <w:szCs w:val="24"/>
                <w:lang w:val="en-US" w:eastAsia="zh-CN"/>
              </w:rPr>
              <w:t>教学</w:t>
            </w:r>
            <w:r>
              <w:rPr>
                <w:rFonts w:hint="eastAsia" w:ascii="宋体" w:hAnsi="宋体" w:eastAsia="宋体" w:cs="宋体"/>
                <w:sz w:val="24"/>
                <w:szCs w:val="24"/>
              </w:rPr>
              <w:t>中，</w:t>
            </w:r>
            <w:r>
              <w:rPr>
                <w:rFonts w:hint="eastAsia" w:ascii="宋体" w:hAnsi="宋体" w:eastAsia="宋体" w:cs="宋体"/>
                <w:sz w:val="24"/>
                <w:szCs w:val="24"/>
                <w:lang w:val="en-US" w:eastAsia="zh-CN"/>
              </w:rPr>
              <w:t>要求</w:t>
            </w:r>
            <w:r>
              <w:rPr>
                <w:rFonts w:hint="eastAsia" w:ascii="宋体" w:hAnsi="宋体" w:eastAsia="宋体" w:cs="宋体"/>
                <w:sz w:val="24"/>
                <w:szCs w:val="24"/>
              </w:rPr>
              <w:t>教师认真组织教学，严把师德师风，加强对学生的考勤和学习过程的监督。</w:t>
            </w:r>
            <w:r>
              <w:rPr>
                <w:rFonts w:hint="eastAsia" w:ascii="宋体" w:hAnsi="宋体" w:eastAsia="宋体" w:cs="宋体"/>
                <w:sz w:val="24"/>
                <w:szCs w:val="24"/>
                <w:lang w:eastAsia="zh-CN"/>
              </w:rPr>
              <w:t>通过考核平时成绩（含实践成绩）、半期考核和期末统一闭卷考试的方式对学生进行考核。</w:t>
            </w:r>
            <w:r>
              <w:rPr>
                <w:rFonts w:hint="eastAsia" w:ascii="宋体" w:hAnsi="宋体" w:eastAsia="宋体" w:cs="宋体"/>
                <w:sz w:val="24"/>
                <w:szCs w:val="24"/>
              </w:rPr>
              <w:t>在期末结束时</w:t>
            </w:r>
            <w:r>
              <w:rPr>
                <w:rFonts w:hint="eastAsia" w:ascii="宋体" w:hAnsi="宋体" w:eastAsia="宋体" w:cs="宋体"/>
                <w:sz w:val="24"/>
                <w:szCs w:val="24"/>
                <w:lang w:eastAsia="zh-CN"/>
              </w:rPr>
              <w:t>教师按学院要求及时录入学生成绩并将半期考核相关资料交</w:t>
            </w:r>
            <w:r>
              <w:rPr>
                <w:rFonts w:hint="eastAsia" w:ascii="宋体" w:hAnsi="宋体" w:eastAsia="宋体" w:cs="宋体"/>
                <w:sz w:val="24"/>
                <w:szCs w:val="24"/>
              </w:rPr>
              <w:t>基础部</w:t>
            </w:r>
            <w:r>
              <w:rPr>
                <w:rFonts w:hint="eastAsia" w:ascii="宋体" w:hAnsi="宋体" w:eastAsia="宋体" w:cs="宋体"/>
                <w:sz w:val="24"/>
                <w:szCs w:val="24"/>
                <w:lang w:eastAsia="zh-CN"/>
              </w:rPr>
              <w:t>，将</w:t>
            </w:r>
            <w:r>
              <w:rPr>
                <w:rFonts w:hint="eastAsia" w:ascii="宋体" w:hAnsi="宋体" w:eastAsia="宋体" w:cs="宋体"/>
                <w:sz w:val="24"/>
                <w:szCs w:val="24"/>
              </w:rPr>
              <w:t>学期考核纸质材料交各分院教务科。所有材料各分院教务科汇总后交基础部存档备查。</w:t>
            </w:r>
          </w:p>
        </w:tc>
      </w:tr>
    </w:tbl>
    <w:p>
      <w:pPr>
        <w:pStyle w:val="2"/>
        <w:rPr>
          <w:rFonts w:hint="eastAsia" w:ascii="宋体" w:hAnsi="宋体" w:eastAsia="宋体" w:cs="宋体"/>
          <w:sz w:val="24"/>
          <w:szCs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jc w:val="both"/>
              <w:rPr>
                <w:rFonts w:hint="eastAsia" w:ascii="宋体" w:hAnsi="宋体" w:eastAsia="宋体" w:cs="宋体"/>
                <w:sz w:val="24"/>
                <w:szCs w:val="24"/>
                <w:lang w:eastAsia="zh-CN"/>
              </w:rPr>
            </w:pPr>
            <w:r>
              <w:rPr>
                <w:rFonts w:hint="eastAsia" w:ascii="宋体" w:hAnsi="宋体" w:eastAsia="宋体" w:cs="宋体"/>
                <w:sz w:val="24"/>
                <w:szCs w:val="24"/>
                <w:highlight w:val="none"/>
              </w:rPr>
              <w:t>环境保护</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理论：30</w:t>
            </w:r>
          </w:p>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实践：2</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widowControl/>
              <w:spacing w:line="440" w:lineRule="exact"/>
              <w:jc w:val="left"/>
              <w:rPr>
                <w:rFonts w:hint="eastAsia" w:ascii="宋体" w:hAnsi="宋体" w:eastAsia="宋体" w:cs="宋体"/>
                <w:sz w:val="24"/>
                <w:szCs w:val="24"/>
              </w:rPr>
            </w:pPr>
            <w:r>
              <w:rPr>
                <w:rFonts w:hint="eastAsia" w:ascii="宋体" w:hAnsi="宋体" w:eastAsia="宋体" w:cs="宋体"/>
                <w:sz w:val="24"/>
                <w:szCs w:val="24"/>
              </w:rPr>
              <w:t>1.专业能力目标：运用各学科相关知识，综合分析环境问题的社会根源。知道环境法律的出现原因和过程；</w:t>
            </w:r>
          </w:p>
          <w:p>
            <w:pPr>
              <w:spacing w:line="400" w:lineRule="exact"/>
              <w:ind w:left="360" w:hanging="360" w:hangingChars="150"/>
              <w:rPr>
                <w:rFonts w:hint="eastAsia" w:ascii="宋体" w:hAnsi="宋体" w:eastAsia="宋体" w:cs="宋体"/>
                <w:sz w:val="24"/>
                <w:szCs w:val="24"/>
              </w:rPr>
            </w:pPr>
            <w:r>
              <w:rPr>
                <w:rFonts w:hint="eastAsia" w:ascii="宋体" w:hAnsi="宋体" w:eastAsia="宋体" w:cs="宋体"/>
                <w:sz w:val="24"/>
                <w:szCs w:val="24"/>
              </w:rPr>
              <w:t>2.方法能力目标：结合实例，思考政策、法律在解决环境问题中的作用。</w:t>
            </w:r>
          </w:p>
          <w:p>
            <w:pPr>
              <w:spacing w:line="400" w:lineRule="exact"/>
              <w:ind w:left="360" w:hanging="360" w:hangingChars="150"/>
              <w:rPr>
                <w:rFonts w:hint="eastAsia" w:ascii="宋体" w:hAnsi="宋体" w:eastAsia="宋体" w:cs="宋体"/>
                <w:sz w:val="24"/>
                <w:szCs w:val="24"/>
              </w:rPr>
            </w:pPr>
            <w:r>
              <w:rPr>
                <w:rFonts w:hint="eastAsia" w:ascii="宋体" w:hAnsi="宋体" w:eastAsia="宋体" w:cs="宋体"/>
                <w:sz w:val="24"/>
                <w:szCs w:val="24"/>
              </w:rPr>
              <w:t>3.社会能力目标：知道人们对环境的不同认识和价值取向对其环境态度和行为有所影响。思考解决环境问题所需要的正确的伦理和价值观</w:t>
            </w:r>
          </w:p>
          <w:p>
            <w:pPr>
              <w:widowControl/>
              <w:spacing w:line="440" w:lineRule="exact"/>
              <w:ind w:firstLine="200"/>
              <w:jc w:val="lef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spacing w:line="240" w:lineRule="auto"/>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文明历史方位下的生态文明理论发展</w:t>
            </w:r>
          </w:p>
        </w:tc>
        <w:tc>
          <w:tcPr>
            <w:tcW w:w="4048" w:type="dxa"/>
            <w:gridSpan w:val="2"/>
          </w:tcPr>
          <w:p>
            <w:pPr>
              <w:spacing w:line="200" w:lineRule="exact"/>
              <w:jc w:val="left"/>
              <w:rPr>
                <w:rFonts w:hint="eastAsia" w:ascii="宋体" w:hAnsi="宋体" w:eastAsia="宋体" w:cs="宋体"/>
                <w:sz w:val="24"/>
                <w:szCs w:val="24"/>
              </w:rPr>
            </w:pPr>
          </w:p>
          <w:p>
            <w:pPr>
              <w:spacing w:line="240" w:lineRule="auto"/>
              <w:jc w:val="left"/>
              <w:rPr>
                <w:rFonts w:hint="eastAsia" w:ascii="宋体" w:hAnsi="宋体" w:eastAsia="宋体" w:cs="宋体"/>
                <w:sz w:val="24"/>
                <w:szCs w:val="24"/>
              </w:rPr>
            </w:pPr>
            <w:r>
              <w:rPr>
                <w:rFonts w:hint="eastAsia" w:ascii="宋体" w:hAnsi="宋体" w:eastAsia="宋体" w:cs="宋体"/>
                <w:sz w:val="24"/>
                <w:szCs w:val="24"/>
              </w:rPr>
              <w:t>文明史、文明观和生态观、中国共产党生态文明理论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jc w:val="left"/>
              <w:rPr>
                <w:rFonts w:hint="eastAsia" w:ascii="宋体" w:hAnsi="宋体" w:eastAsia="宋体" w:cs="宋体"/>
                <w:sz w:val="24"/>
                <w:szCs w:val="24"/>
              </w:rPr>
            </w:pPr>
            <w:r>
              <w:rPr>
                <w:rFonts w:hint="eastAsia" w:ascii="宋体" w:hAnsi="宋体" w:eastAsia="宋体" w:cs="宋体"/>
                <w:sz w:val="24"/>
                <w:szCs w:val="24"/>
              </w:rPr>
              <w:t>生态环境的挑战与保护、治理对策</w:t>
            </w:r>
          </w:p>
        </w:tc>
        <w:tc>
          <w:tcPr>
            <w:tcW w:w="4048" w:type="dxa"/>
            <w:gridSpan w:val="2"/>
            <w:vAlign w:val="center"/>
          </w:tcPr>
          <w:p>
            <w:pPr>
              <w:spacing w:line="200" w:lineRule="exact"/>
              <w:jc w:val="left"/>
              <w:rPr>
                <w:rFonts w:hint="eastAsia" w:ascii="宋体" w:hAnsi="宋体" w:eastAsia="宋体" w:cs="宋体"/>
                <w:sz w:val="24"/>
                <w:szCs w:val="24"/>
              </w:rPr>
            </w:pPr>
            <w:r>
              <w:rPr>
                <w:rFonts w:hint="eastAsia" w:ascii="宋体" w:hAnsi="宋体" w:eastAsia="宋体" w:cs="宋体"/>
                <w:sz w:val="24"/>
                <w:szCs w:val="24"/>
              </w:rPr>
              <w:t>生态系统与生物多样性、生态环境的污染与治理修复、气候变化与能源问题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追逐美丽中国梦的生态文明实践</w:t>
            </w:r>
          </w:p>
        </w:tc>
        <w:tc>
          <w:tcPr>
            <w:tcW w:w="4048" w:type="dxa"/>
            <w:gridSpan w:val="2"/>
          </w:tcPr>
          <w:p>
            <w:pPr>
              <w:widowControl/>
              <w:spacing w:line="440" w:lineRule="exact"/>
              <w:jc w:val="both"/>
              <w:rPr>
                <w:rFonts w:hint="eastAsia" w:ascii="宋体" w:hAnsi="宋体" w:eastAsia="宋体" w:cs="宋体"/>
                <w:sz w:val="24"/>
                <w:szCs w:val="24"/>
              </w:rPr>
            </w:pPr>
            <w:r>
              <w:rPr>
                <w:rFonts w:hint="eastAsia" w:ascii="宋体" w:hAnsi="宋体" w:eastAsia="宋体" w:cs="宋体"/>
                <w:sz w:val="24"/>
                <w:szCs w:val="24"/>
              </w:rPr>
              <w:t>当代中国生态文明建设实践、生态产业建设、贵州的可持续发展道路、共建生态文明社会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实践课</w:t>
            </w:r>
          </w:p>
        </w:tc>
        <w:tc>
          <w:tcPr>
            <w:tcW w:w="4048" w:type="dxa"/>
            <w:gridSpan w:val="2"/>
          </w:tcPr>
          <w:p>
            <w:pPr>
              <w:widowControl/>
              <w:spacing w:line="440" w:lineRule="exact"/>
              <w:ind w:firstLine="200"/>
              <w:rPr>
                <w:rFonts w:hint="eastAsia" w:ascii="宋体" w:hAnsi="宋体" w:eastAsia="宋体" w:cs="宋体"/>
                <w:sz w:val="24"/>
                <w:szCs w:val="24"/>
              </w:rPr>
            </w:pPr>
            <w:r>
              <w:rPr>
                <w:rFonts w:hint="eastAsia" w:ascii="宋体" w:hAnsi="宋体" w:eastAsia="宋体" w:cs="宋体"/>
                <w:sz w:val="24"/>
                <w:szCs w:val="24"/>
              </w:rPr>
              <w:t>制作环保海报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40" w:lineRule="exact"/>
              <w:ind w:firstLine="200"/>
              <w:rPr>
                <w:rFonts w:hint="eastAsia" w:ascii="宋体" w:hAnsi="宋体" w:eastAsia="宋体" w:cs="宋体"/>
                <w:sz w:val="24"/>
                <w:szCs w:val="24"/>
              </w:rPr>
            </w:pPr>
            <w:r>
              <w:rPr>
                <w:rFonts w:hint="eastAsia" w:ascii="宋体" w:hAnsi="宋体" w:eastAsia="宋体" w:cs="宋体"/>
                <w:sz w:val="24"/>
                <w:szCs w:val="24"/>
              </w:rPr>
              <w:t>1.生态文明教育强调贴近生活实践，强调学生的亲身体验。</w:t>
            </w:r>
          </w:p>
          <w:p>
            <w:pPr>
              <w:ind w:firstLine="200"/>
              <w:rPr>
                <w:rFonts w:hint="eastAsia" w:ascii="宋体" w:hAnsi="宋体" w:eastAsia="宋体" w:cs="宋体"/>
                <w:sz w:val="24"/>
                <w:szCs w:val="24"/>
              </w:rPr>
            </w:pPr>
            <w:r>
              <w:rPr>
                <w:rFonts w:hint="eastAsia" w:ascii="宋体" w:hAnsi="宋体" w:eastAsia="宋体" w:cs="宋体"/>
                <w:sz w:val="24"/>
                <w:szCs w:val="24"/>
              </w:rPr>
              <w:t>2.根据教学目标和内容、学校和教师的实际情况以及各学段学生的身心发展特点，灵活选择教学途径与方法，并指导学生根据各自特点选择适宜的学习方式。</w:t>
            </w:r>
          </w:p>
          <w:p>
            <w:pPr>
              <w:widowControl/>
              <w:spacing w:line="440" w:lineRule="exact"/>
              <w:rPr>
                <w:rFonts w:hint="eastAsia" w:ascii="宋体" w:hAnsi="宋体" w:eastAsia="宋体" w:cs="宋体"/>
                <w:sz w:val="24"/>
                <w:szCs w:val="24"/>
              </w:rPr>
            </w:pPr>
            <w:r>
              <w:rPr>
                <w:rFonts w:hint="eastAsia" w:ascii="宋体" w:hAnsi="宋体" w:eastAsia="宋体" w:cs="宋体"/>
                <w:sz w:val="24"/>
                <w:szCs w:val="24"/>
              </w:rPr>
              <w:t>3.通过自主探究学习，培养学生对人与环境关系的反思意识和能力。</w:t>
            </w:r>
          </w:p>
          <w:p>
            <w:pPr>
              <w:widowControl/>
              <w:spacing w:line="440" w:lineRule="exact"/>
              <w:rPr>
                <w:rFonts w:hint="eastAsia" w:ascii="宋体" w:hAnsi="宋体" w:eastAsia="宋体" w:cs="宋体"/>
                <w:sz w:val="24"/>
                <w:szCs w:val="24"/>
              </w:rPr>
            </w:pPr>
            <w:r>
              <w:rPr>
                <w:rFonts w:hint="eastAsia" w:ascii="宋体" w:hAnsi="宋体" w:eastAsia="宋体" w:cs="宋体"/>
                <w:sz w:val="24"/>
                <w:szCs w:val="24"/>
              </w:rPr>
              <w:t>4.从可解决的问题入手，以教室、学校、家庭和当地社区的现实环境问题作为学生了解环境问题的起点，鼓励学生运用已有的知识技能分析和解决这些问题，通过学生的实际行动增强他们的信心，使他们愿意进一步参与改善环境的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adjustRightInd w:val="0"/>
              <w:snapToGrid w:val="0"/>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1.教学媒体：电子教案、教学课件、案例库、视频库</w:t>
            </w:r>
          </w:p>
          <w:p>
            <w:pPr>
              <w:widowControl/>
              <w:adjustRightInd w:val="0"/>
              <w:snapToGrid w:val="0"/>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2.教学场景：合作场景、项目场景、课堂场景</w:t>
            </w:r>
          </w:p>
          <w:p>
            <w:pPr>
              <w:widowControl/>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3.工具设备：课程标准、课程授课计划、教材、校本教材、多媒体教室</w:t>
            </w:r>
          </w:p>
          <w:p>
            <w:pPr>
              <w:widowControl/>
              <w:adjustRightInd w:val="0"/>
              <w:snapToGrid w:val="0"/>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4.教师配备：20名，其中8名专职，11名行政兼职，其中3名中级，17名初级。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74" w:type="dxa"/>
            <w:vAlign w:val="center"/>
          </w:tcPr>
          <w:p>
            <w:pPr>
              <w:widowControl/>
              <w:spacing w:line="440" w:lineRule="exact"/>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adjustRightInd w:val="0"/>
              <w:snapToGrid w:val="0"/>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1．形成性评价和终结性评价相结合，以形成性评价为主。2．评价主体多元化，主要包括学生评价、教师评价、学校评价、区域评价。</w:t>
            </w:r>
          </w:p>
          <w:p>
            <w:pPr>
              <w:widowControl/>
              <w:adjustRightInd w:val="0"/>
              <w:snapToGrid w:val="0"/>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3．单项评价与综合评价相结合。</w:t>
            </w:r>
          </w:p>
          <w:p>
            <w:pPr>
              <w:pStyle w:val="2"/>
              <w:ind w:firstLine="0" w:firstLineChars="0"/>
              <w:rPr>
                <w:rFonts w:hint="eastAsia" w:ascii="宋体" w:hAnsi="宋体" w:eastAsia="宋体" w:cs="宋体"/>
                <w:sz w:val="24"/>
                <w:szCs w:val="24"/>
              </w:rPr>
            </w:pPr>
            <w:r>
              <w:rPr>
                <w:rFonts w:hint="eastAsia" w:ascii="宋体" w:hAnsi="宋体" w:eastAsia="宋体" w:cs="宋体"/>
                <w:sz w:val="24"/>
                <w:szCs w:val="24"/>
              </w:rPr>
              <w:t>4．评价方式多样化，以定性评价为主。</w:t>
            </w:r>
          </w:p>
        </w:tc>
      </w:tr>
    </w:tbl>
    <w:tbl>
      <w:tblPr>
        <w:tblStyle w:val="16"/>
        <w:tblpPr w:leftFromText="180" w:rightFromText="180" w:vertAnchor="text" w:horzAnchor="page" w:tblpX="1827" w:tblpY="1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形势与政策</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0101/0202/0303/0404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理论：</w:t>
            </w:r>
            <w:r>
              <w:rPr>
                <w:rFonts w:hint="eastAsia" w:ascii="宋体" w:hAnsi="宋体" w:eastAsia="宋体" w:cs="宋体"/>
                <w:sz w:val="24"/>
                <w:szCs w:val="24"/>
                <w:lang w:val="en-US" w:eastAsia="zh-CN"/>
              </w:rPr>
              <w:t>28</w:t>
            </w:r>
            <w:r>
              <w:rPr>
                <w:rFonts w:hint="eastAsia" w:ascii="宋体" w:hAnsi="宋体" w:eastAsia="宋体" w:cs="宋体"/>
                <w:sz w:val="24"/>
                <w:szCs w:val="24"/>
              </w:rPr>
              <w:t xml:space="preserve"> </w:t>
            </w:r>
          </w:p>
          <w:p>
            <w:pPr>
              <w:widowControl/>
              <w:adjustRightInd w:val="0"/>
              <w:snapToGrid w:val="0"/>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rPr>
              <w:t>实践：</w:t>
            </w:r>
            <w:r>
              <w:rPr>
                <w:rFonts w:hint="eastAsia" w:ascii="宋体" w:hAnsi="宋体" w:eastAsia="宋体" w:cs="宋体"/>
                <w:sz w:val="24"/>
                <w:szCs w:val="24"/>
                <w:lang w:val="en-US" w:eastAsia="zh-CN"/>
              </w:rPr>
              <w:t>4</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widowControl/>
              <w:spacing w:line="440" w:lineRule="exact"/>
              <w:ind w:firstLine="200"/>
              <w:jc w:val="left"/>
              <w:rPr>
                <w:rFonts w:hint="eastAsia" w:ascii="宋体" w:hAnsi="宋体" w:eastAsia="宋体" w:cs="宋体"/>
                <w:sz w:val="24"/>
                <w:szCs w:val="24"/>
                <w:lang w:eastAsia="zh-CN"/>
              </w:rPr>
            </w:pPr>
            <w:r>
              <w:rPr>
                <w:rFonts w:hint="eastAsia" w:ascii="宋体" w:hAnsi="宋体" w:eastAsia="宋体" w:cs="宋体"/>
                <w:sz w:val="24"/>
                <w:szCs w:val="24"/>
              </w:rPr>
              <w:t>1.专业能力目标：帮助学生深刻把握习近平新时代中国特色社会主义思想的重大意义、科学体系、精神实质、实践要求</w:t>
            </w:r>
            <w:r>
              <w:rPr>
                <w:rFonts w:hint="eastAsia" w:ascii="宋体" w:hAnsi="宋体" w:eastAsia="宋体" w:cs="宋体"/>
                <w:sz w:val="24"/>
                <w:szCs w:val="24"/>
                <w:lang w:eastAsia="zh-CN"/>
              </w:rPr>
              <w:t>。</w:t>
            </w:r>
          </w:p>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rPr>
              <w:t>2.方法能力目标：</w:t>
            </w:r>
            <w:r>
              <w:rPr>
                <w:rFonts w:hint="eastAsia" w:ascii="宋体" w:hAnsi="宋体" w:eastAsia="宋体" w:cs="宋体"/>
                <w:sz w:val="24"/>
                <w:szCs w:val="24"/>
                <w:lang w:val="en-US" w:eastAsia="zh-CN"/>
              </w:rPr>
              <w:t>引导学生坚持运用辩证唯物主义世界观方法论，正确看待当前我国经济社会发展态势及遇到的困难</w:t>
            </w:r>
            <w:r>
              <w:rPr>
                <w:rFonts w:hint="eastAsia" w:ascii="宋体" w:hAnsi="宋体" w:eastAsia="宋体" w:cs="宋体"/>
                <w:sz w:val="24"/>
                <w:szCs w:val="24"/>
              </w:rPr>
              <w:t>，树牢“四个意识”，坚定“四个自信”，坚决做到“两个维护”</w:t>
            </w:r>
            <w:r>
              <w:rPr>
                <w:rFonts w:hint="eastAsia" w:ascii="宋体" w:hAnsi="宋体" w:eastAsia="宋体" w:cs="宋体"/>
                <w:sz w:val="24"/>
                <w:szCs w:val="24"/>
                <w:lang w:eastAsia="zh-CN"/>
              </w:rPr>
              <w:t>。</w:t>
            </w:r>
          </w:p>
          <w:p>
            <w:pPr>
              <w:widowControl/>
              <w:spacing w:line="440" w:lineRule="exact"/>
              <w:ind w:firstLine="200"/>
              <w:jc w:val="left"/>
              <w:rPr>
                <w:rFonts w:hint="eastAsia" w:ascii="宋体" w:hAnsi="宋体" w:eastAsia="宋体" w:cs="宋体"/>
                <w:sz w:val="24"/>
                <w:szCs w:val="24"/>
                <w:lang w:val="en-US" w:eastAsia="zh-CN"/>
              </w:rPr>
            </w:pPr>
            <w:r>
              <w:rPr>
                <w:rFonts w:hint="eastAsia" w:ascii="宋体" w:hAnsi="宋体" w:eastAsia="宋体" w:cs="宋体"/>
                <w:sz w:val="24"/>
                <w:szCs w:val="24"/>
              </w:rPr>
              <w:t>3.社会能力目标：</w:t>
            </w:r>
            <w:r>
              <w:rPr>
                <w:rFonts w:hint="eastAsia" w:ascii="宋体" w:hAnsi="宋体" w:eastAsia="宋体" w:cs="宋体"/>
                <w:sz w:val="24"/>
                <w:szCs w:val="24"/>
                <w:lang w:val="en-US" w:eastAsia="zh-CN"/>
              </w:rPr>
              <w:t>理论联系实际，培养学生服务社会的意识，增强时代责任感和使命感。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4"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 xml:space="preserve">关于加强党的建设和全面从严治党专题 </w:t>
            </w:r>
          </w:p>
        </w:tc>
        <w:tc>
          <w:tcPr>
            <w:tcW w:w="4048" w:type="dxa"/>
            <w:gridSpan w:val="2"/>
            <w:vAlign w:val="center"/>
          </w:tcPr>
          <w:p>
            <w:pPr>
              <w:widowControl w:val="0"/>
              <w:numPr>
                <w:ilvl w:val="0"/>
                <w:numId w:val="4"/>
              </w:numPr>
              <w:spacing w:line="240" w:lineRule="auto"/>
              <w:ind w:firstLine="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以习近平同志为核心的党中央坚强领导下，坚决打赢疫情防控的人民战争、总体战、阻击战；</w:t>
            </w:r>
          </w:p>
          <w:p>
            <w:pPr>
              <w:widowControl w:val="0"/>
              <w:numPr>
                <w:ilvl w:val="0"/>
                <w:numId w:val="4"/>
              </w:numPr>
              <w:spacing w:line="240" w:lineRule="auto"/>
              <w:ind w:firstLine="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深入领会党的十九届四中全会精神；</w:t>
            </w:r>
          </w:p>
          <w:p>
            <w:pPr>
              <w:widowControl w:val="0"/>
              <w:numPr>
                <w:ilvl w:val="0"/>
                <w:numId w:val="4"/>
              </w:numPr>
              <w:spacing w:line="240" w:lineRule="auto"/>
              <w:ind w:firstLine="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坚持和完善党的领导制度体系；</w:t>
            </w:r>
          </w:p>
          <w:p>
            <w:pPr>
              <w:widowControl w:val="0"/>
              <w:numPr>
                <w:ilvl w:val="0"/>
                <w:numId w:val="4"/>
              </w:numPr>
              <w:spacing w:line="240" w:lineRule="auto"/>
              <w:ind w:firstLine="0"/>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大力弘扬爱国主义精神。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widowControl w:val="0"/>
              <w:spacing w:line="240" w:lineRule="auto"/>
              <w:ind w:firstLine="0"/>
              <w:jc w:val="center"/>
              <w:rPr>
                <w:rFonts w:hint="eastAsia" w:ascii="宋体" w:hAnsi="宋体" w:eastAsia="宋体" w:cs="宋体"/>
                <w:sz w:val="24"/>
                <w:szCs w:val="24"/>
              </w:rPr>
            </w:pPr>
            <w:r>
              <w:rPr>
                <w:rFonts w:hint="eastAsia" w:ascii="宋体" w:hAnsi="宋体" w:eastAsia="宋体" w:cs="宋体"/>
                <w:color w:val="auto"/>
                <w:sz w:val="24"/>
                <w:szCs w:val="24"/>
              </w:rPr>
              <w:t>关于</w:t>
            </w:r>
            <w:r>
              <w:rPr>
                <w:rFonts w:hint="eastAsia" w:ascii="宋体" w:hAnsi="宋体" w:eastAsia="宋体" w:cs="宋体"/>
                <w:color w:val="auto"/>
                <w:sz w:val="24"/>
                <w:szCs w:val="24"/>
                <w:lang w:val="en-US" w:eastAsia="zh-CN"/>
              </w:rPr>
              <w:t>经济社会发展</w:t>
            </w:r>
            <w:r>
              <w:rPr>
                <w:rFonts w:hint="eastAsia" w:ascii="宋体" w:hAnsi="宋体" w:eastAsia="宋体" w:cs="宋体"/>
                <w:color w:val="auto"/>
                <w:sz w:val="24"/>
                <w:szCs w:val="24"/>
              </w:rPr>
              <w:t>专题</w:t>
            </w:r>
          </w:p>
        </w:tc>
        <w:tc>
          <w:tcPr>
            <w:tcW w:w="4048" w:type="dxa"/>
            <w:gridSpan w:val="2"/>
            <w:vAlign w:val="center"/>
          </w:tcPr>
          <w:p>
            <w:pPr>
              <w:widowControl w:val="0"/>
              <w:numPr>
                <w:ilvl w:val="0"/>
                <w:numId w:val="5"/>
              </w:numPr>
              <w:spacing w:line="240" w:lineRule="auto"/>
              <w:ind w:firstLine="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坚决克服新冠肺炎疫情影响，坚决打赢脱贫攻坚战全面胜利；</w:t>
            </w:r>
          </w:p>
          <w:p>
            <w:pPr>
              <w:widowControl w:val="0"/>
              <w:numPr>
                <w:ilvl w:val="0"/>
                <w:numId w:val="5"/>
              </w:numPr>
              <w:spacing w:line="240" w:lineRule="auto"/>
              <w:ind w:firstLine="0"/>
              <w:jc w:val="left"/>
              <w:rPr>
                <w:rFonts w:hint="eastAsia" w:ascii="宋体" w:hAnsi="宋体" w:eastAsia="宋体" w:cs="宋体"/>
                <w:color w:val="auto"/>
                <w:sz w:val="24"/>
                <w:szCs w:val="24"/>
                <w:lang w:val="en-US"/>
              </w:rPr>
            </w:pPr>
            <w:r>
              <w:rPr>
                <w:rFonts w:hint="eastAsia" w:ascii="宋体" w:hAnsi="宋体" w:eastAsia="宋体" w:cs="宋体"/>
                <w:color w:val="auto"/>
                <w:sz w:val="24"/>
                <w:szCs w:val="24"/>
                <w:lang w:val="en-US" w:eastAsia="zh-CN"/>
              </w:rPr>
              <w:t>当前我国经济形势与发展战略；</w:t>
            </w:r>
          </w:p>
          <w:p>
            <w:pPr>
              <w:widowControl w:val="0"/>
              <w:numPr>
                <w:ilvl w:val="0"/>
                <w:numId w:val="5"/>
              </w:numPr>
              <w:spacing w:line="240" w:lineRule="auto"/>
              <w:ind w:firstLine="0"/>
              <w:jc w:val="left"/>
              <w:rPr>
                <w:rFonts w:hint="eastAsia" w:ascii="宋体" w:hAnsi="宋体" w:eastAsia="宋体" w:cs="宋体"/>
                <w:sz w:val="24"/>
                <w:szCs w:val="24"/>
              </w:rPr>
            </w:pPr>
            <w:r>
              <w:rPr>
                <w:rFonts w:hint="eastAsia" w:ascii="宋体" w:hAnsi="宋体" w:eastAsia="宋体" w:cs="宋体"/>
                <w:color w:val="auto"/>
                <w:sz w:val="24"/>
                <w:szCs w:val="24"/>
                <w:lang w:val="en-US" w:eastAsia="zh-CN"/>
              </w:rPr>
              <w:t>完善科技创新体制机制。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widowControl w:val="0"/>
              <w:spacing w:line="240" w:lineRule="auto"/>
              <w:ind w:firstLine="0"/>
              <w:jc w:val="center"/>
              <w:rPr>
                <w:rFonts w:hint="eastAsia" w:ascii="宋体" w:hAnsi="宋体" w:eastAsia="宋体" w:cs="宋体"/>
                <w:sz w:val="24"/>
                <w:szCs w:val="24"/>
              </w:rPr>
            </w:pPr>
            <w:r>
              <w:rPr>
                <w:rFonts w:hint="eastAsia" w:ascii="宋体" w:hAnsi="宋体" w:eastAsia="宋体" w:cs="宋体"/>
                <w:color w:val="auto"/>
                <w:sz w:val="24"/>
                <w:szCs w:val="24"/>
                <w:lang w:val="en-US" w:eastAsia="zh-CN"/>
              </w:rPr>
              <w:t>关于港澳台形势与政策专题</w:t>
            </w:r>
          </w:p>
        </w:tc>
        <w:tc>
          <w:tcPr>
            <w:tcW w:w="4048" w:type="dxa"/>
            <w:gridSpan w:val="2"/>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全面准确贯彻“一国两制”“港人治港”“澳人治澳”、高度自治的方针；</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0"/>
              <w:jc w:val="left"/>
              <w:textAlignment w:val="auto"/>
              <w:rPr>
                <w:rFonts w:hint="eastAsia" w:ascii="宋体" w:hAnsi="宋体" w:eastAsia="宋体" w:cs="宋体"/>
                <w:sz w:val="24"/>
                <w:szCs w:val="24"/>
              </w:rPr>
            </w:pPr>
            <w:r>
              <w:rPr>
                <w:rFonts w:hint="eastAsia" w:ascii="宋体" w:hAnsi="宋体" w:eastAsia="宋体" w:cs="宋体"/>
                <w:color w:val="auto"/>
                <w:sz w:val="24"/>
                <w:szCs w:val="24"/>
                <w:lang w:val="en-US" w:eastAsia="zh-CN"/>
              </w:rPr>
              <w:t>准确把握两岸关系发展大势。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widowControl w:val="0"/>
              <w:spacing w:line="240" w:lineRule="auto"/>
              <w:ind w:firstLine="0"/>
              <w:rPr>
                <w:rFonts w:hint="eastAsia" w:ascii="宋体" w:hAnsi="宋体" w:eastAsia="宋体" w:cs="宋体"/>
                <w:color w:val="auto"/>
                <w:sz w:val="24"/>
                <w:szCs w:val="24"/>
              </w:rPr>
            </w:pPr>
          </w:p>
          <w:p>
            <w:pPr>
              <w:widowControl w:val="0"/>
              <w:spacing w:line="240" w:lineRule="auto"/>
              <w:ind w:firstLine="0"/>
              <w:rPr>
                <w:rFonts w:hint="eastAsia" w:ascii="宋体" w:hAnsi="宋体" w:eastAsia="宋体" w:cs="宋体"/>
                <w:color w:val="auto"/>
                <w:sz w:val="24"/>
                <w:szCs w:val="24"/>
              </w:rPr>
            </w:pPr>
            <w:r>
              <w:rPr>
                <w:rFonts w:hint="eastAsia" w:ascii="宋体" w:hAnsi="宋体" w:eastAsia="宋体" w:cs="宋体"/>
                <w:color w:val="auto"/>
                <w:sz w:val="24"/>
                <w:szCs w:val="24"/>
              </w:rPr>
              <w:t>关于国际形势与政策专题</w:t>
            </w:r>
          </w:p>
          <w:p>
            <w:pPr>
              <w:widowControl w:val="0"/>
              <w:spacing w:line="240" w:lineRule="auto"/>
              <w:ind w:firstLine="0"/>
              <w:rPr>
                <w:rFonts w:hint="eastAsia" w:ascii="宋体" w:hAnsi="宋体" w:eastAsia="宋体" w:cs="宋体"/>
                <w:sz w:val="24"/>
                <w:szCs w:val="24"/>
              </w:rPr>
            </w:pPr>
          </w:p>
        </w:tc>
        <w:tc>
          <w:tcPr>
            <w:tcW w:w="4048" w:type="dxa"/>
            <w:gridSpan w:val="2"/>
            <w:vAlign w:val="center"/>
          </w:tcPr>
          <w:p>
            <w:pPr>
              <w:widowControl w:val="0"/>
              <w:numPr>
                <w:ilvl w:val="0"/>
                <w:numId w:val="7"/>
              </w:numPr>
              <w:spacing w:line="240" w:lineRule="auto"/>
              <w:ind w:firstLine="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世界百年未有之大变局与新时代中国特色大国外交；</w:t>
            </w:r>
          </w:p>
          <w:p>
            <w:pPr>
              <w:widowControl w:val="0"/>
              <w:numPr>
                <w:ilvl w:val="0"/>
                <w:numId w:val="7"/>
              </w:numPr>
              <w:spacing w:line="240" w:lineRule="auto"/>
              <w:ind w:firstLine="0"/>
              <w:jc w:val="left"/>
              <w:rPr>
                <w:rFonts w:hint="eastAsia" w:ascii="宋体" w:hAnsi="宋体" w:eastAsia="宋体" w:cs="宋体"/>
                <w:sz w:val="24"/>
                <w:szCs w:val="24"/>
              </w:rPr>
            </w:pPr>
            <w:r>
              <w:rPr>
                <w:rFonts w:hint="eastAsia" w:ascii="宋体" w:hAnsi="宋体" w:eastAsia="宋体" w:cs="宋体"/>
                <w:color w:val="auto"/>
                <w:sz w:val="24"/>
                <w:szCs w:val="24"/>
                <w:lang w:val="en-US" w:eastAsia="zh-CN"/>
              </w:rPr>
              <w:t>推动建设开放型世界经济。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40" w:lineRule="exact"/>
              <w:ind w:firstLine="650" w:firstLineChars="271"/>
              <w:jc w:val="both"/>
              <w:rPr>
                <w:rFonts w:hint="eastAsia" w:ascii="宋体" w:hAnsi="宋体" w:eastAsia="宋体" w:cs="宋体"/>
                <w:sz w:val="24"/>
                <w:szCs w:val="24"/>
              </w:rPr>
            </w:pPr>
            <w:r>
              <w:rPr>
                <w:rFonts w:hint="eastAsia" w:ascii="宋体" w:hAnsi="宋体" w:eastAsia="宋体" w:cs="宋体"/>
                <w:sz w:val="24"/>
                <w:szCs w:val="24"/>
              </w:rPr>
              <w:t>根据“形势与政策”课程的特点，课程组在教学中要以时事为基点，立足我国国情，突出授课重点，增加互动，开放课堂，启发思维，树立理想。受此次疫情影响，疫情期间形策课将采取网络授课方式开展，疫情结束后，再按正常形式上课，在课堂讲授中，采用可采取呈现时事－－提炼问题－－理清问题的方式，理论联系实际，使学生在此过程中掌握课程知识内容，开阔思维和视野，提高分析问题和解决问题的能力，丰富知识和思想素养，深化对新时代中国特色社会主义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教学媒体</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教室多媒体、QQ群、在线教育平台</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教学场景</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线下教室课堂、线上教学平台</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工具设备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多媒体、电脑</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教师配备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小蜜蜂、翻页笔、电脑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0"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spacing w:line="440" w:lineRule="exact"/>
              <w:ind w:firstLine="480" w:firstLineChars="200"/>
              <w:jc w:val="both"/>
              <w:rPr>
                <w:rFonts w:hint="eastAsia" w:ascii="宋体" w:hAnsi="宋体" w:eastAsia="宋体" w:cs="宋体"/>
                <w:sz w:val="24"/>
                <w:szCs w:val="24"/>
              </w:rPr>
            </w:pPr>
            <w:r>
              <w:rPr>
                <w:rFonts w:hint="eastAsia" w:ascii="宋体" w:hAnsi="宋体" w:eastAsia="宋体" w:cs="宋体"/>
                <w:sz w:val="24"/>
                <w:szCs w:val="24"/>
              </w:rPr>
              <w:t>在网络教学</w:t>
            </w:r>
            <w:r>
              <w:rPr>
                <w:rFonts w:hint="eastAsia" w:ascii="宋体" w:hAnsi="宋体" w:eastAsia="宋体" w:cs="宋体"/>
                <w:sz w:val="24"/>
                <w:szCs w:val="24"/>
                <w:lang w:val="en-US" w:eastAsia="zh-CN"/>
              </w:rPr>
              <w:t>和后续的线下教学</w:t>
            </w:r>
            <w:r>
              <w:rPr>
                <w:rFonts w:hint="eastAsia" w:ascii="宋体" w:hAnsi="宋体" w:eastAsia="宋体" w:cs="宋体"/>
                <w:sz w:val="24"/>
                <w:szCs w:val="24"/>
              </w:rPr>
              <w:t>中，</w:t>
            </w:r>
            <w:r>
              <w:rPr>
                <w:rFonts w:hint="eastAsia" w:ascii="宋体" w:hAnsi="宋体" w:eastAsia="宋体" w:cs="宋体"/>
                <w:sz w:val="24"/>
                <w:szCs w:val="24"/>
                <w:lang w:val="en-US" w:eastAsia="zh-CN"/>
              </w:rPr>
              <w:t>要求</w:t>
            </w:r>
            <w:r>
              <w:rPr>
                <w:rFonts w:hint="eastAsia" w:ascii="宋体" w:hAnsi="宋体" w:eastAsia="宋体" w:cs="宋体"/>
                <w:sz w:val="24"/>
                <w:szCs w:val="24"/>
              </w:rPr>
              <w:t>教师认真组织教学，严把师德师风，加强对学生的考勤和学习过程的监督。在期末结束时将教案（含PPT）及网络授课有关材料交基础部；学期考核</w:t>
            </w:r>
            <w:r>
              <w:rPr>
                <w:rFonts w:hint="eastAsia" w:ascii="宋体" w:hAnsi="宋体" w:eastAsia="宋体" w:cs="宋体"/>
                <w:sz w:val="24"/>
                <w:szCs w:val="24"/>
                <w:lang w:val="en-US" w:eastAsia="zh-CN"/>
              </w:rPr>
              <w:t>坚持理论联系实际，教师可引导学生通过实践调研完成调研报告或撰写理论学习心得体会等形式完成，</w:t>
            </w:r>
            <w:r>
              <w:rPr>
                <w:rFonts w:hint="eastAsia" w:ascii="宋体" w:hAnsi="宋体" w:eastAsia="宋体" w:cs="宋体"/>
                <w:sz w:val="24"/>
                <w:szCs w:val="24"/>
              </w:rPr>
              <w:t>并将考核纸质材料交各分院教务科。所有材料各分院教务科汇总后交基础部存档备查。</w:t>
            </w:r>
          </w:p>
        </w:tc>
      </w:tr>
    </w:tbl>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74" w:type="dxa"/>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课程名称</w:t>
            </w: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体育与健康</w:t>
            </w:r>
          </w:p>
        </w:tc>
        <w:tc>
          <w:tcPr>
            <w:tcW w:w="19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课程代码</w:t>
            </w:r>
          </w:p>
        </w:tc>
        <w:tc>
          <w:tcPr>
            <w:tcW w:w="20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学时</w:t>
            </w: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理论：4 </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实践：60</w:t>
            </w:r>
          </w:p>
        </w:tc>
        <w:tc>
          <w:tcPr>
            <w:tcW w:w="19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w:t>
            </w:r>
          </w:p>
        </w:tc>
        <w:tc>
          <w:tcPr>
            <w:tcW w:w="20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5" w:hRule="atLeast"/>
        </w:trPr>
        <w:tc>
          <w:tcPr>
            <w:tcW w:w="2074" w:type="dxa"/>
            <w:noWrap w:val="0"/>
            <w:vAlign w:val="center"/>
          </w:tcPr>
          <w:p>
            <w:pPr>
              <w:widowControl/>
              <w:spacing w:line="440" w:lineRule="exact"/>
              <w:ind w:left="0" w:leftChars="0"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学习目标</w:t>
            </w:r>
          </w:p>
        </w:tc>
        <w:tc>
          <w:tcPr>
            <w:tcW w:w="6222" w:type="dxa"/>
            <w:gridSpan w:val="3"/>
            <w:noWrap w:val="0"/>
            <w:vAlign w:val="top"/>
          </w:tcPr>
          <w:p>
            <w:pPr>
              <w:widowControl/>
              <w:spacing w:line="440" w:lineRule="exact"/>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专业能力目标：学生通过体育课程学习，基本掌握两项以上体育技能，不断提高运动能力。形成自己的运动爱好和专长，有能力参加班级、校级和更高级别的体育运动比赛，并在某一方面形成一定的爱好和兴趣，为“终身体育”打好基础。                                       </w:t>
            </w:r>
          </w:p>
          <w:p>
            <w:pPr>
              <w:widowControl/>
              <w:spacing w:line="440" w:lineRule="exact"/>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2.方法能力目标：培养学生对本课程正确认识，培养学生参与锻炼的积极性。使他们能自觉地、积极地、经常地参与锻炼实现身体运动的参与目标。                    3.社会能力目标：通过体育教育及体育活动培养大学生的合作能力、交往能力和适应能力，形成良好的人际关系和团结协作的团队精神，提高社会责任感和协调沟通能力。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学习内容</w:t>
            </w:r>
          </w:p>
        </w:tc>
        <w:tc>
          <w:tcPr>
            <w:tcW w:w="2174" w:type="dxa"/>
            <w:noWrap w:val="0"/>
            <w:vAlign w:val="top"/>
          </w:tcPr>
          <w:p>
            <w:pPr>
              <w:widowControl/>
              <w:spacing w:line="440" w:lineRule="exact"/>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内容（项目）名称</w:t>
            </w:r>
          </w:p>
        </w:tc>
        <w:tc>
          <w:tcPr>
            <w:tcW w:w="4048" w:type="dxa"/>
            <w:gridSpan w:val="2"/>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田径</w:t>
            </w:r>
          </w:p>
        </w:tc>
        <w:tc>
          <w:tcPr>
            <w:tcW w:w="4048" w:type="dxa"/>
            <w:gridSpan w:val="2"/>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跑、跳、投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武术</w:t>
            </w:r>
          </w:p>
        </w:tc>
        <w:tc>
          <w:tcPr>
            <w:tcW w:w="4048" w:type="dxa"/>
            <w:gridSpan w:val="2"/>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少年拳、24式太极拳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篮球</w:t>
            </w:r>
          </w:p>
        </w:tc>
        <w:tc>
          <w:tcPr>
            <w:tcW w:w="4048" w:type="dxa"/>
            <w:gridSpan w:val="2"/>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运球、传接球、投球、教学比赛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乒乓球</w:t>
            </w:r>
          </w:p>
        </w:tc>
        <w:tc>
          <w:tcPr>
            <w:tcW w:w="4048" w:type="dxa"/>
            <w:gridSpan w:val="2"/>
            <w:noWrap w:val="0"/>
            <w:vAlign w:val="top"/>
          </w:tcPr>
          <w:p>
            <w:pPr>
              <w:widowControl/>
              <w:spacing w:line="440" w:lineRule="exact"/>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握拍、乒乓球基本步法和正反拍的基本打法。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排球</w:t>
            </w:r>
          </w:p>
        </w:tc>
        <w:tc>
          <w:tcPr>
            <w:tcW w:w="4048" w:type="dxa"/>
            <w:gridSpan w:val="2"/>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发球、垫球，教学比赛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健美操</w:t>
            </w:r>
          </w:p>
        </w:tc>
        <w:tc>
          <w:tcPr>
            <w:tcW w:w="4048" w:type="dxa"/>
            <w:gridSpan w:val="2"/>
            <w:noWrap w:val="0"/>
            <w:vAlign w:val="top"/>
          </w:tcPr>
          <w:p>
            <w:pPr>
              <w:widowControl/>
              <w:spacing w:line="44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健美操基本步法及简单套路学习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p>
        </w:tc>
        <w:tc>
          <w:tcPr>
            <w:tcW w:w="2174" w:type="dxa"/>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体育运动损伤的预防（理论）</w:t>
            </w:r>
          </w:p>
        </w:tc>
        <w:tc>
          <w:tcPr>
            <w:tcW w:w="4048" w:type="dxa"/>
            <w:gridSpan w:val="2"/>
            <w:noWrap w:val="0"/>
            <w:vAlign w:val="top"/>
          </w:tcPr>
          <w:p>
            <w:pPr>
              <w:widowControl/>
              <w:spacing w:line="440" w:lineRule="exact"/>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1、运动损伤产生的原因。2、运动损伤的分类。3、常见运动损伤的预防。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noWrap w:val="0"/>
            <w:vAlign w:val="center"/>
          </w:tcPr>
          <w:p>
            <w:pPr>
              <w:widowControl/>
              <w:spacing w:line="44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教学方法设计</w:t>
            </w:r>
          </w:p>
        </w:tc>
        <w:tc>
          <w:tcPr>
            <w:tcW w:w="6222" w:type="dxa"/>
            <w:gridSpan w:val="3"/>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1.讲解教学法与示范教学法。</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2.分解教学法与完整教学法。</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3.讨论式教学法。</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4.合作教学法。</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5.学生自主学习理论知识，课堂进行交流。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noWrap w:val="0"/>
            <w:vAlign w:val="center"/>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教学条件</w:t>
            </w:r>
          </w:p>
        </w:tc>
        <w:tc>
          <w:tcPr>
            <w:tcW w:w="6222" w:type="dxa"/>
            <w:gridSpan w:val="3"/>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教学媒体</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教学场景：田径场、篮球场、排球场</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工具设备：篮球、排球、起跑器、皮尺、秒表</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教师配备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noWrap w:val="0"/>
            <w:vAlign w:val="center"/>
          </w:tcPr>
          <w:p>
            <w:pPr>
              <w:widowControl/>
              <w:spacing w:line="440" w:lineRule="exact"/>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考核方式与标准</w:t>
            </w:r>
          </w:p>
        </w:tc>
        <w:tc>
          <w:tcPr>
            <w:tcW w:w="6222" w:type="dxa"/>
            <w:gridSpan w:val="3"/>
            <w:noWrap w:val="0"/>
            <w:vAlign w:val="top"/>
          </w:tcPr>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考核方式：采取教师评价和学生自评、互评相结合，定性评价和定量评价相结合的综合评价方式，可采取观察记录、口头评述、相互比较、对照量表和自我反思等方法，重在评价学生的学习态度、进步幅度和发展潜能。</w:t>
            </w:r>
          </w:p>
          <w:p>
            <w:pPr>
              <w:widowControl/>
              <w:spacing w:line="44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考核标准：要把学生上体育课的出勤率、进步幅度、学习态度等因素列入考核范围。体育课无故缺勤，一学年累计超过应出勤次数1/3者，其《标准》成绩记为不及格，该学年《标准》成绩最高记为59分。60分以下为不及格、60分—69分为及格、70分—79分为中等、80分—89分为良好、90分—100分为优秀。</w:t>
            </w:r>
          </w:p>
        </w:tc>
      </w:tr>
    </w:tbl>
    <w:p>
      <w:pPr>
        <w:pStyle w:val="2"/>
        <w:rPr>
          <w:rFonts w:hint="eastAsia" w:ascii="宋体" w:hAnsi="宋体" w:eastAsia="宋体" w:cs="宋体"/>
          <w:sz w:val="24"/>
          <w:szCs w:val="24"/>
        </w:rPr>
      </w:pPr>
    </w:p>
    <w:p>
      <w:pPr>
        <w:pStyle w:val="2"/>
        <w:rPr>
          <w:rFonts w:hint="eastAsia" w:ascii="宋体" w:hAnsi="宋体" w:eastAsia="宋体" w:cs="宋体"/>
          <w:sz w:val="24"/>
          <w:szCs w:val="24"/>
        </w:rPr>
      </w:pPr>
    </w:p>
    <w:tbl>
      <w:tblPr>
        <w:tblStyle w:val="1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课程名称</w:t>
            </w:r>
          </w:p>
        </w:tc>
        <w:tc>
          <w:tcPr>
            <w:tcW w:w="2174" w:type="dxa"/>
          </w:tcPr>
          <w:p>
            <w:pPr>
              <w:widowControl/>
              <w:spacing w:line="440" w:lineRule="exact"/>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大学生职业生涯规划</w:t>
            </w:r>
          </w:p>
        </w:tc>
        <w:tc>
          <w:tcPr>
            <w:tcW w:w="1974" w:type="dxa"/>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课程代码</w:t>
            </w:r>
          </w:p>
        </w:tc>
        <w:tc>
          <w:tcPr>
            <w:tcW w:w="2074" w:type="dxa"/>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学时</w:t>
            </w:r>
          </w:p>
        </w:tc>
        <w:tc>
          <w:tcPr>
            <w:tcW w:w="2174" w:type="dxa"/>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理论： 28</w:t>
            </w:r>
          </w:p>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实践： 4</w:t>
            </w:r>
          </w:p>
        </w:tc>
        <w:tc>
          <w:tcPr>
            <w:tcW w:w="1974" w:type="dxa"/>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w:t>
            </w:r>
          </w:p>
        </w:tc>
        <w:tc>
          <w:tcPr>
            <w:tcW w:w="2074" w:type="dxa"/>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74" w:type="dxa"/>
            <w:vAlign w:val="center"/>
          </w:tcPr>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学习目标</w:t>
            </w:r>
          </w:p>
        </w:tc>
        <w:tc>
          <w:tcPr>
            <w:tcW w:w="6222" w:type="dxa"/>
            <w:gridSpan w:val="3"/>
          </w:tcPr>
          <w:p>
            <w:pPr>
              <w:widowControl/>
              <w:spacing w:line="440" w:lineRule="exact"/>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专业能力目标：</w:t>
            </w:r>
          </w:p>
          <w:p>
            <w:pPr>
              <w:widowControl/>
              <w:spacing w:line="440" w:lineRule="exact"/>
              <w:ind w:firstLine="408" w:firstLineChars="17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基本了解职业发展的阶段特点；较为清晰地认识自己的特性、职业的特性以及社会环境。</w:t>
            </w:r>
          </w:p>
          <w:p>
            <w:pPr>
              <w:widowControl/>
              <w:spacing w:line="440" w:lineRule="exact"/>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方法能力目标： </w:t>
            </w:r>
          </w:p>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培养学生自我探索能力，独立思考和勇于创新的能力。树立信心，掌握信息搜索与管理技能、生涯决策技能、求职技能等。</w:t>
            </w:r>
          </w:p>
          <w:p>
            <w:pPr>
              <w:widowControl/>
              <w:spacing w:line="440" w:lineRule="exact"/>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社会能力目标：</w:t>
            </w:r>
          </w:p>
          <w:p>
            <w:pPr>
              <w:widowControl/>
              <w:spacing w:line="44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通过本课程树立职业生涯发展的自主意识、正确的就业观和价值观、职业观；把个人发展和国家需要、社会发展相结合，确立职业的概念和意识，愿意为个人的生涯发展和社会发展主动付出积极的努力。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认识职业生涯规划</w:t>
            </w:r>
          </w:p>
        </w:tc>
        <w:tc>
          <w:tcPr>
            <w:tcW w:w="4048" w:type="dxa"/>
            <w:gridSpan w:val="2"/>
          </w:tcPr>
          <w:p>
            <w:pPr>
              <w:widowControl w:val="0"/>
              <w:numPr>
                <w:ilvl w:val="0"/>
                <w:numId w:val="8"/>
              </w:numPr>
              <w:ind w:left="360" w:hanging="360"/>
              <w:rPr>
                <w:rFonts w:hint="eastAsia" w:ascii="宋体" w:hAnsi="宋体" w:eastAsia="宋体" w:cs="宋体"/>
                <w:sz w:val="24"/>
                <w:szCs w:val="24"/>
              </w:rPr>
            </w:pPr>
            <w:r>
              <w:rPr>
                <w:rFonts w:hint="eastAsia" w:ascii="宋体" w:hAnsi="宋体" w:eastAsia="宋体" w:cs="宋体"/>
                <w:sz w:val="24"/>
                <w:szCs w:val="24"/>
              </w:rPr>
              <w:t>什么是生涯</w:t>
            </w:r>
          </w:p>
          <w:p>
            <w:pPr>
              <w:widowControl w:val="0"/>
              <w:numPr>
                <w:ilvl w:val="0"/>
                <w:numId w:val="8"/>
              </w:numPr>
              <w:ind w:left="360" w:hanging="360"/>
              <w:rPr>
                <w:rFonts w:hint="eastAsia" w:ascii="宋体" w:hAnsi="宋体" w:eastAsia="宋体" w:cs="宋体"/>
                <w:sz w:val="24"/>
                <w:szCs w:val="24"/>
              </w:rPr>
            </w:pPr>
            <w:r>
              <w:rPr>
                <w:rFonts w:hint="eastAsia" w:ascii="宋体" w:hAnsi="宋体" w:eastAsia="宋体" w:cs="宋体"/>
                <w:sz w:val="24"/>
                <w:szCs w:val="24"/>
              </w:rPr>
              <w:t>生涯规划的意义</w:t>
            </w:r>
          </w:p>
          <w:p>
            <w:pPr>
              <w:widowControl w:val="0"/>
              <w:numPr>
                <w:ilvl w:val="0"/>
                <w:numId w:val="8"/>
              </w:numPr>
              <w:ind w:left="360" w:hanging="360"/>
              <w:rPr>
                <w:rFonts w:hint="eastAsia" w:ascii="宋体" w:hAnsi="宋体" w:eastAsia="宋体" w:cs="宋体"/>
                <w:sz w:val="24"/>
                <w:szCs w:val="24"/>
              </w:rPr>
            </w:pPr>
            <w:r>
              <w:rPr>
                <w:rFonts w:hint="eastAsia" w:ascii="宋体" w:hAnsi="宋体" w:eastAsia="宋体" w:cs="宋体"/>
                <w:sz w:val="24"/>
                <w:szCs w:val="24"/>
              </w:rPr>
              <w:t>生涯规划的内容与步骤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兴趣探索</w:t>
            </w:r>
          </w:p>
        </w:tc>
        <w:tc>
          <w:tcPr>
            <w:tcW w:w="4048" w:type="dxa"/>
            <w:gridSpan w:val="2"/>
          </w:tcPr>
          <w:p>
            <w:pPr>
              <w:widowControl w:val="0"/>
              <w:numPr>
                <w:ilvl w:val="0"/>
                <w:numId w:val="9"/>
              </w:numPr>
              <w:ind w:left="360" w:hanging="360"/>
              <w:rPr>
                <w:rFonts w:hint="eastAsia" w:ascii="宋体" w:hAnsi="宋体" w:eastAsia="宋体" w:cs="宋体"/>
                <w:sz w:val="24"/>
                <w:szCs w:val="24"/>
              </w:rPr>
            </w:pPr>
            <w:r>
              <w:rPr>
                <w:rFonts w:hint="eastAsia" w:ascii="宋体" w:hAnsi="宋体" w:eastAsia="宋体" w:cs="宋体"/>
                <w:sz w:val="24"/>
                <w:szCs w:val="24"/>
              </w:rPr>
              <w:t>兴趣与生涯发展的关系</w:t>
            </w:r>
          </w:p>
          <w:p>
            <w:pPr>
              <w:widowControl w:val="0"/>
              <w:numPr>
                <w:ilvl w:val="0"/>
                <w:numId w:val="9"/>
              </w:numPr>
              <w:ind w:left="360" w:hanging="360"/>
              <w:rPr>
                <w:rFonts w:hint="eastAsia" w:ascii="宋体" w:hAnsi="宋体" w:eastAsia="宋体" w:cs="宋体"/>
                <w:sz w:val="24"/>
                <w:szCs w:val="24"/>
              </w:rPr>
            </w:pPr>
            <w:r>
              <w:rPr>
                <w:rFonts w:hint="eastAsia" w:ascii="宋体" w:hAnsi="宋体" w:eastAsia="宋体" w:cs="宋体"/>
                <w:sz w:val="24"/>
                <w:szCs w:val="24"/>
              </w:rPr>
              <w:t>霍兰德的新区类型理论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性格探索</w:t>
            </w:r>
          </w:p>
        </w:tc>
        <w:tc>
          <w:tcPr>
            <w:tcW w:w="4048" w:type="dxa"/>
            <w:gridSpan w:val="2"/>
          </w:tcPr>
          <w:p>
            <w:pPr>
              <w:widowControl w:val="0"/>
              <w:numPr>
                <w:ilvl w:val="0"/>
                <w:numId w:val="10"/>
              </w:numPr>
              <w:ind w:left="360" w:hanging="360"/>
              <w:rPr>
                <w:rFonts w:hint="eastAsia" w:ascii="宋体" w:hAnsi="宋体" w:eastAsia="宋体" w:cs="宋体"/>
                <w:sz w:val="24"/>
                <w:szCs w:val="24"/>
              </w:rPr>
            </w:pPr>
            <w:r>
              <w:rPr>
                <w:rFonts w:hint="eastAsia" w:ascii="宋体" w:hAnsi="宋体" w:eastAsia="宋体" w:cs="宋体"/>
                <w:sz w:val="24"/>
                <w:szCs w:val="24"/>
              </w:rPr>
              <w:t>性格生涯发展的关系</w:t>
            </w:r>
          </w:p>
          <w:p>
            <w:pPr>
              <w:widowControl w:val="0"/>
              <w:numPr>
                <w:ilvl w:val="0"/>
                <w:numId w:val="10"/>
              </w:numPr>
              <w:ind w:left="360" w:hanging="360"/>
              <w:rPr>
                <w:rFonts w:hint="eastAsia" w:ascii="宋体" w:hAnsi="宋体" w:eastAsia="宋体" w:cs="宋体"/>
                <w:sz w:val="24"/>
                <w:szCs w:val="24"/>
              </w:rPr>
            </w:pPr>
            <w:r>
              <w:rPr>
                <w:rFonts w:hint="eastAsia" w:ascii="宋体" w:hAnsi="宋体" w:eastAsia="宋体" w:cs="宋体"/>
                <w:sz w:val="24"/>
                <w:szCs w:val="24"/>
              </w:rPr>
              <w:t>通过MBTI了解性格</w:t>
            </w:r>
          </w:p>
          <w:p>
            <w:pPr>
              <w:widowControl w:val="0"/>
              <w:numPr>
                <w:ilvl w:val="0"/>
                <w:numId w:val="10"/>
              </w:numPr>
              <w:ind w:left="360" w:hanging="360"/>
              <w:rPr>
                <w:rFonts w:hint="eastAsia" w:ascii="宋体" w:hAnsi="宋体" w:eastAsia="宋体" w:cs="宋体"/>
                <w:sz w:val="24"/>
                <w:szCs w:val="24"/>
              </w:rPr>
            </w:pPr>
            <w:r>
              <w:rPr>
                <w:rFonts w:hint="eastAsia" w:ascii="宋体" w:hAnsi="宋体" w:eastAsia="宋体" w:cs="宋体"/>
                <w:sz w:val="24"/>
                <w:szCs w:val="24"/>
              </w:rPr>
              <w:t>MBTI与职业的匹配</w:t>
            </w:r>
          </w:p>
          <w:p>
            <w:pPr>
              <w:widowControl w:val="0"/>
              <w:numPr>
                <w:ilvl w:val="0"/>
                <w:numId w:val="10"/>
              </w:numPr>
              <w:tabs>
                <w:tab w:val="left" w:pos="360"/>
              </w:tabs>
              <w:ind w:left="360" w:hanging="360"/>
              <w:rPr>
                <w:rFonts w:hint="eastAsia" w:ascii="宋体" w:hAnsi="宋体" w:eastAsia="宋体" w:cs="宋体"/>
                <w:sz w:val="24"/>
                <w:szCs w:val="24"/>
              </w:rPr>
            </w:pPr>
            <w:r>
              <w:rPr>
                <w:rFonts w:hint="eastAsia" w:ascii="宋体" w:hAnsi="宋体" w:eastAsia="宋体" w:cs="宋体"/>
                <w:sz w:val="24"/>
                <w:szCs w:val="24"/>
              </w:rPr>
              <w:t>探索性格的其他方法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Borders>
              <w:bottom w:val="single" w:color="auto" w:sz="4" w:space="0"/>
            </w:tcBorders>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技能探索</w:t>
            </w:r>
          </w:p>
        </w:tc>
        <w:tc>
          <w:tcPr>
            <w:tcW w:w="4048" w:type="dxa"/>
            <w:gridSpan w:val="2"/>
            <w:tcBorders>
              <w:bottom w:val="single" w:color="auto" w:sz="4" w:space="0"/>
            </w:tcBorders>
          </w:tcPr>
          <w:p>
            <w:pPr>
              <w:widowControl w:val="0"/>
              <w:numPr>
                <w:ilvl w:val="0"/>
                <w:numId w:val="11"/>
              </w:numPr>
              <w:ind w:left="360" w:hanging="360"/>
              <w:rPr>
                <w:rFonts w:hint="eastAsia" w:ascii="宋体" w:hAnsi="宋体" w:eastAsia="宋体" w:cs="宋体"/>
                <w:sz w:val="24"/>
                <w:szCs w:val="24"/>
              </w:rPr>
            </w:pPr>
            <w:r>
              <w:rPr>
                <w:rFonts w:hint="eastAsia" w:ascii="宋体" w:hAnsi="宋体" w:eastAsia="宋体" w:cs="宋体"/>
                <w:sz w:val="24"/>
                <w:szCs w:val="24"/>
              </w:rPr>
              <w:t>能力与生涯发展的关系</w:t>
            </w:r>
          </w:p>
          <w:p>
            <w:pPr>
              <w:widowControl w:val="0"/>
              <w:numPr>
                <w:ilvl w:val="0"/>
                <w:numId w:val="11"/>
              </w:numPr>
              <w:ind w:left="360" w:hanging="360"/>
              <w:rPr>
                <w:rFonts w:hint="eastAsia" w:ascii="宋体" w:hAnsi="宋体" w:eastAsia="宋体" w:cs="宋体"/>
                <w:sz w:val="24"/>
                <w:szCs w:val="24"/>
              </w:rPr>
            </w:pPr>
            <w:r>
              <w:rPr>
                <w:rFonts w:hint="eastAsia" w:ascii="宋体" w:hAnsi="宋体" w:eastAsia="宋体" w:cs="宋体"/>
                <w:sz w:val="24"/>
                <w:szCs w:val="24"/>
              </w:rPr>
              <w:t>能力的分类</w:t>
            </w:r>
          </w:p>
          <w:p>
            <w:pPr>
              <w:widowControl w:val="0"/>
              <w:numPr>
                <w:ilvl w:val="0"/>
                <w:numId w:val="11"/>
              </w:numPr>
              <w:ind w:left="360" w:hanging="360"/>
              <w:rPr>
                <w:rFonts w:hint="eastAsia" w:ascii="宋体" w:hAnsi="宋体" w:eastAsia="宋体" w:cs="宋体"/>
                <w:sz w:val="24"/>
                <w:szCs w:val="24"/>
              </w:rPr>
            </w:pPr>
            <w:r>
              <w:rPr>
                <w:rFonts w:hint="eastAsia" w:ascii="宋体" w:hAnsi="宋体" w:eastAsia="宋体" w:cs="宋体"/>
                <w:sz w:val="24"/>
                <w:szCs w:val="24"/>
              </w:rPr>
              <w:t>能力倾向的分类</w:t>
            </w:r>
          </w:p>
          <w:p>
            <w:pPr>
              <w:widowControl w:val="0"/>
              <w:numPr>
                <w:ilvl w:val="0"/>
                <w:numId w:val="11"/>
              </w:numPr>
              <w:ind w:left="360" w:hanging="360"/>
              <w:rPr>
                <w:rFonts w:hint="eastAsia" w:ascii="宋体" w:hAnsi="宋体" w:eastAsia="宋体" w:cs="宋体"/>
                <w:sz w:val="24"/>
                <w:szCs w:val="24"/>
              </w:rPr>
            </w:pPr>
            <w:r>
              <w:rPr>
                <w:rFonts w:hint="eastAsia" w:ascii="宋体" w:hAnsi="宋体" w:eastAsia="宋体" w:cs="宋体"/>
                <w:sz w:val="24"/>
                <w:szCs w:val="24"/>
              </w:rPr>
              <w:t>技能的分类</w:t>
            </w:r>
          </w:p>
          <w:p>
            <w:pPr>
              <w:widowControl w:val="0"/>
              <w:numPr>
                <w:ilvl w:val="0"/>
                <w:numId w:val="11"/>
              </w:numPr>
              <w:ind w:left="360" w:hanging="360"/>
              <w:rPr>
                <w:rFonts w:hint="eastAsia" w:ascii="宋体" w:hAnsi="宋体" w:eastAsia="宋体" w:cs="宋体"/>
                <w:kern w:val="2"/>
                <w:sz w:val="24"/>
                <w:szCs w:val="24"/>
                <w:lang w:val="en-US" w:eastAsia="zh-CN" w:bidi="ar-SA"/>
              </w:rPr>
            </w:pPr>
            <w:r>
              <w:rPr>
                <w:rFonts w:hint="eastAsia" w:ascii="宋体" w:hAnsi="宋体" w:eastAsia="宋体" w:cs="宋体"/>
                <w:sz w:val="24"/>
                <w:szCs w:val="24"/>
              </w:rPr>
              <w:t>雇主们最忠实的技能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4"/>
                <w:szCs w:val="24"/>
              </w:rPr>
            </w:pPr>
          </w:p>
        </w:tc>
        <w:tc>
          <w:tcPr>
            <w:tcW w:w="2174" w:type="dxa"/>
            <w:tcBorders>
              <w:top w:val="single" w:color="auto" w:sz="4" w:space="0"/>
              <w:left w:val="single" w:color="auto" w:sz="4" w:space="0"/>
              <w:bottom w:val="single" w:color="auto" w:sz="4" w:space="0"/>
              <w:right w:val="single" w:color="auto" w:sz="4" w:space="0"/>
            </w:tcBorders>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价值观探索</w:t>
            </w:r>
          </w:p>
        </w:tc>
        <w:tc>
          <w:tcPr>
            <w:tcW w:w="4048" w:type="dxa"/>
            <w:gridSpan w:val="2"/>
            <w:tcBorders>
              <w:top w:val="single" w:color="auto" w:sz="4" w:space="0"/>
              <w:left w:val="single" w:color="auto" w:sz="4" w:space="0"/>
              <w:bottom w:val="single" w:color="auto" w:sz="4" w:space="0"/>
              <w:right w:val="single" w:color="auto" w:sz="4" w:space="0"/>
            </w:tcBorders>
          </w:tcPr>
          <w:p>
            <w:pPr>
              <w:widowControl w:val="0"/>
              <w:numPr>
                <w:ilvl w:val="0"/>
                <w:numId w:val="12"/>
              </w:numPr>
              <w:ind w:left="360" w:hanging="360"/>
              <w:rPr>
                <w:rFonts w:hint="eastAsia" w:ascii="宋体" w:hAnsi="宋体" w:eastAsia="宋体" w:cs="宋体"/>
                <w:sz w:val="24"/>
                <w:szCs w:val="24"/>
              </w:rPr>
            </w:pPr>
            <w:r>
              <w:rPr>
                <w:rFonts w:hint="eastAsia" w:ascii="宋体" w:hAnsi="宋体" w:eastAsia="宋体" w:cs="宋体"/>
                <w:sz w:val="24"/>
                <w:szCs w:val="24"/>
              </w:rPr>
              <w:t>什么是价值观</w:t>
            </w:r>
          </w:p>
          <w:p>
            <w:pPr>
              <w:widowControl w:val="0"/>
              <w:numPr>
                <w:ilvl w:val="0"/>
                <w:numId w:val="12"/>
              </w:numPr>
              <w:ind w:left="360" w:hanging="360"/>
              <w:rPr>
                <w:rFonts w:hint="eastAsia" w:ascii="宋体" w:hAnsi="宋体" w:eastAsia="宋体" w:cs="宋体"/>
                <w:sz w:val="24"/>
                <w:szCs w:val="24"/>
              </w:rPr>
            </w:pPr>
            <w:r>
              <w:rPr>
                <w:rFonts w:hint="eastAsia" w:ascii="宋体" w:hAnsi="宋体" w:eastAsia="宋体" w:cs="宋体"/>
                <w:sz w:val="24"/>
                <w:szCs w:val="24"/>
              </w:rPr>
              <w:t>价值观的激励作用</w:t>
            </w:r>
          </w:p>
          <w:p>
            <w:pPr>
              <w:widowControl w:val="0"/>
              <w:numPr>
                <w:ilvl w:val="0"/>
                <w:numId w:val="12"/>
              </w:numPr>
              <w:ind w:left="360" w:hanging="360"/>
              <w:rPr>
                <w:rFonts w:hint="eastAsia" w:ascii="宋体" w:hAnsi="宋体" w:eastAsia="宋体" w:cs="宋体"/>
                <w:sz w:val="24"/>
                <w:szCs w:val="24"/>
              </w:rPr>
            </w:pPr>
            <w:r>
              <w:rPr>
                <w:rFonts w:hint="eastAsia" w:ascii="宋体" w:hAnsi="宋体" w:eastAsia="宋体" w:cs="宋体"/>
                <w:sz w:val="24"/>
                <w:szCs w:val="24"/>
              </w:rPr>
              <w:t>在职业选择中考虑价值观</w:t>
            </w:r>
          </w:p>
          <w:p>
            <w:pPr>
              <w:widowControl w:val="0"/>
              <w:numPr>
                <w:ilvl w:val="0"/>
                <w:numId w:val="12"/>
              </w:numPr>
              <w:ind w:left="360" w:hanging="360"/>
              <w:rPr>
                <w:rFonts w:hint="eastAsia" w:ascii="宋体" w:hAnsi="宋体" w:eastAsia="宋体" w:cs="宋体"/>
                <w:sz w:val="24"/>
                <w:szCs w:val="24"/>
              </w:rPr>
            </w:pPr>
            <w:r>
              <w:rPr>
                <w:rFonts w:hint="eastAsia" w:ascii="宋体" w:hAnsi="宋体" w:eastAsia="宋体" w:cs="宋体"/>
                <w:sz w:val="24"/>
                <w:szCs w:val="24"/>
              </w:rPr>
              <w:t>价值观可以发生变化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4"/>
                <w:szCs w:val="24"/>
              </w:rPr>
            </w:pPr>
          </w:p>
        </w:tc>
        <w:tc>
          <w:tcPr>
            <w:tcW w:w="2174" w:type="dxa"/>
            <w:tcBorders>
              <w:top w:val="single" w:color="auto" w:sz="4" w:space="0"/>
              <w:left w:val="single" w:color="auto" w:sz="4" w:space="0"/>
              <w:bottom w:val="single" w:color="auto" w:sz="4" w:space="0"/>
              <w:right w:val="single" w:color="auto" w:sz="4" w:space="0"/>
            </w:tcBorders>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工作世界探索</w:t>
            </w:r>
          </w:p>
        </w:tc>
        <w:tc>
          <w:tcPr>
            <w:tcW w:w="4048" w:type="dxa"/>
            <w:gridSpan w:val="2"/>
            <w:tcBorders>
              <w:top w:val="single" w:color="auto" w:sz="4" w:space="0"/>
              <w:left w:val="single" w:color="auto" w:sz="4" w:space="0"/>
              <w:bottom w:val="single" w:color="auto" w:sz="4" w:space="0"/>
              <w:right w:val="single" w:color="auto" w:sz="4" w:space="0"/>
            </w:tcBorders>
          </w:tcPr>
          <w:p>
            <w:pPr>
              <w:widowControl w:val="0"/>
              <w:numPr>
                <w:ilvl w:val="0"/>
                <w:numId w:val="13"/>
              </w:numPr>
              <w:ind w:left="360" w:hanging="360"/>
              <w:rPr>
                <w:rFonts w:hint="eastAsia" w:ascii="宋体" w:hAnsi="宋体" w:eastAsia="宋体" w:cs="宋体"/>
                <w:sz w:val="24"/>
                <w:szCs w:val="24"/>
              </w:rPr>
            </w:pPr>
            <w:r>
              <w:rPr>
                <w:rFonts w:hint="eastAsia" w:ascii="宋体" w:hAnsi="宋体" w:eastAsia="宋体" w:cs="宋体"/>
                <w:sz w:val="24"/>
                <w:szCs w:val="24"/>
              </w:rPr>
              <w:t>了解工作世界信息的作用</w:t>
            </w:r>
          </w:p>
          <w:p>
            <w:pPr>
              <w:widowControl w:val="0"/>
              <w:numPr>
                <w:ilvl w:val="0"/>
                <w:numId w:val="13"/>
              </w:numPr>
              <w:ind w:left="360" w:hanging="360"/>
              <w:rPr>
                <w:rFonts w:hint="eastAsia" w:ascii="宋体" w:hAnsi="宋体" w:eastAsia="宋体" w:cs="宋体"/>
                <w:sz w:val="24"/>
                <w:szCs w:val="24"/>
              </w:rPr>
            </w:pPr>
            <w:r>
              <w:rPr>
                <w:rFonts w:hint="eastAsia" w:ascii="宋体" w:hAnsi="宋体" w:eastAsia="宋体" w:cs="宋体"/>
                <w:sz w:val="24"/>
                <w:szCs w:val="24"/>
              </w:rPr>
              <w:t>工作世界信息包括内容</w:t>
            </w:r>
          </w:p>
          <w:p>
            <w:pPr>
              <w:widowControl w:val="0"/>
              <w:numPr>
                <w:ilvl w:val="0"/>
                <w:numId w:val="13"/>
              </w:numPr>
              <w:ind w:left="360" w:hanging="360"/>
              <w:rPr>
                <w:rFonts w:hint="eastAsia" w:ascii="宋体" w:hAnsi="宋体" w:eastAsia="宋体" w:cs="宋体"/>
                <w:sz w:val="24"/>
                <w:szCs w:val="24"/>
              </w:rPr>
            </w:pPr>
            <w:r>
              <w:rPr>
                <w:rFonts w:hint="eastAsia" w:ascii="宋体" w:hAnsi="宋体" w:eastAsia="宋体" w:cs="宋体"/>
                <w:sz w:val="24"/>
                <w:szCs w:val="24"/>
              </w:rPr>
              <w:t>探索工作世界的方法与途径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4"/>
                <w:szCs w:val="24"/>
              </w:rPr>
            </w:pPr>
          </w:p>
        </w:tc>
        <w:tc>
          <w:tcPr>
            <w:tcW w:w="2174" w:type="dxa"/>
            <w:tcBorders>
              <w:top w:val="single" w:color="auto" w:sz="4" w:space="0"/>
              <w:left w:val="single" w:color="auto" w:sz="4" w:space="0"/>
              <w:bottom w:val="single" w:color="auto" w:sz="4" w:space="0"/>
              <w:right w:val="single" w:color="auto" w:sz="4" w:space="0"/>
            </w:tcBorders>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决策与行动计划</w:t>
            </w:r>
          </w:p>
        </w:tc>
        <w:tc>
          <w:tcPr>
            <w:tcW w:w="4048" w:type="dxa"/>
            <w:gridSpan w:val="2"/>
            <w:tcBorders>
              <w:top w:val="single" w:color="auto" w:sz="4" w:space="0"/>
              <w:left w:val="single" w:color="auto" w:sz="4" w:space="0"/>
              <w:bottom w:val="single" w:color="auto" w:sz="4" w:space="0"/>
              <w:right w:val="single" w:color="auto" w:sz="4" w:space="0"/>
            </w:tcBorders>
          </w:tcPr>
          <w:p>
            <w:pPr>
              <w:widowControl w:val="0"/>
              <w:numPr>
                <w:ilvl w:val="0"/>
                <w:numId w:val="0"/>
              </w:numPr>
              <w:rPr>
                <w:rFonts w:hint="eastAsia"/>
              </w:rPr>
            </w:pPr>
            <w:r>
              <w:rPr>
                <w:rFonts w:hint="eastAsia" w:ascii="宋体" w:hAnsi="宋体" w:eastAsia="宋体" w:cs="宋体"/>
                <w:sz w:val="24"/>
                <w:szCs w:val="24"/>
                <w:lang w:val="en-US" w:eastAsia="zh-CN"/>
              </w:rPr>
              <w:t>1.</w:t>
            </w:r>
            <w:r>
              <w:rPr>
                <w:rFonts w:hint="eastAsia" w:ascii="宋体" w:hAnsi="宋体" w:eastAsia="宋体" w:cs="宋体"/>
                <w:sz w:val="24"/>
                <w:szCs w:val="24"/>
              </w:rPr>
              <w:t>决策风格</w:t>
            </w:r>
          </w:p>
          <w:p>
            <w:pPr>
              <w:widowControl w:val="0"/>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职业决策中的挑战</w:t>
            </w:r>
          </w:p>
          <w:p>
            <w:pPr>
              <w:widowControl w:val="0"/>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应对职业决策中的挑战</w:t>
            </w:r>
          </w:p>
          <w:p>
            <w:pPr>
              <w:widowControl w:val="0"/>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目标设立于行动计划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4"/>
                <w:szCs w:val="24"/>
              </w:rPr>
            </w:pPr>
          </w:p>
        </w:tc>
        <w:tc>
          <w:tcPr>
            <w:tcW w:w="2174" w:type="dxa"/>
            <w:tcBorders>
              <w:top w:val="single" w:color="auto" w:sz="4" w:space="0"/>
              <w:left w:val="single" w:color="auto" w:sz="4" w:space="0"/>
              <w:bottom w:val="single" w:color="auto" w:sz="4" w:space="0"/>
              <w:right w:val="single" w:color="auto" w:sz="4" w:space="0"/>
            </w:tcBorders>
            <w:vAlign w:val="center"/>
          </w:tcPr>
          <w:p>
            <w:pPr>
              <w:widowControl w:val="0"/>
              <w:ind w:firstLine="0"/>
              <w:jc w:val="center"/>
              <w:rPr>
                <w:rFonts w:hint="eastAsia" w:ascii="宋体" w:hAnsi="宋体" w:eastAsia="宋体" w:cs="宋体"/>
                <w:sz w:val="24"/>
                <w:szCs w:val="24"/>
              </w:rPr>
            </w:pPr>
            <w:r>
              <w:rPr>
                <w:rFonts w:hint="eastAsia" w:ascii="宋体" w:hAnsi="宋体" w:eastAsia="宋体" w:cs="宋体"/>
                <w:sz w:val="24"/>
                <w:szCs w:val="24"/>
              </w:rPr>
              <w:t>生涯规划管理</w:t>
            </w:r>
          </w:p>
        </w:tc>
        <w:tc>
          <w:tcPr>
            <w:tcW w:w="4048" w:type="dxa"/>
            <w:gridSpan w:val="2"/>
            <w:tcBorders>
              <w:top w:val="single" w:color="auto" w:sz="4" w:space="0"/>
              <w:left w:val="single" w:color="auto" w:sz="4" w:space="0"/>
              <w:bottom w:val="single" w:color="auto" w:sz="4" w:space="0"/>
              <w:right w:val="single" w:color="auto" w:sz="4" w:space="0"/>
            </w:tcBorders>
          </w:tcPr>
          <w:p>
            <w:pPr>
              <w:widowControl w:val="0"/>
              <w:numPr>
                <w:ilvl w:val="0"/>
                <w:numId w:val="14"/>
              </w:numPr>
              <w:ind w:left="360" w:hanging="360"/>
              <w:rPr>
                <w:rFonts w:hint="eastAsia" w:ascii="宋体" w:hAnsi="宋体" w:eastAsia="宋体" w:cs="宋体"/>
                <w:sz w:val="24"/>
                <w:szCs w:val="24"/>
              </w:rPr>
            </w:pPr>
            <w:r>
              <w:rPr>
                <w:rFonts w:hint="eastAsia" w:ascii="宋体" w:hAnsi="宋体" w:eastAsia="宋体" w:cs="宋体"/>
                <w:sz w:val="24"/>
                <w:szCs w:val="24"/>
              </w:rPr>
              <w:t>走进职场</w:t>
            </w:r>
          </w:p>
          <w:p>
            <w:pPr>
              <w:widowControl w:val="0"/>
              <w:numPr>
                <w:ilvl w:val="0"/>
                <w:numId w:val="14"/>
              </w:numPr>
              <w:ind w:left="360" w:hanging="360"/>
              <w:rPr>
                <w:rFonts w:hint="eastAsia" w:ascii="宋体" w:hAnsi="宋体" w:eastAsia="宋体" w:cs="宋体"/>
                <w:sz w:val="24"/>
                <w:szCs w:val="24"/>
              </w:rPr>
            </w:pPr>
            <w:r>
              <w:rPr>
                <w:rFonts w:hint="eastAsia" w:ascii="宋体" w:hAnsi="宋体" w:eastAsia="宋体" w:cs="宋体"/>
                <w:sz w:val="24"/>
                <w:szCs w:val="24"/>
              </w:rPr>
              <w:t>管理你的职业生涯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Borders>
              <w:top w:val="single" w:color="auto" w:sz="4" w:space="0"/>
            </w:tcBorders>
            <w:vAlign w:val="center"/>
          </w:tcPr>
          <w:p>
            <w:pPr>
              <w:widowControl w:val="0"/>
              <w:ind w:firstLine="0"/>
              <w:jc w:val="left"/>
              <w:rPr>
                <w:rFonts w:hint="eastAsia" w:ascii="宋体" w:hAnsi="宋体" w:eastAsia="宋体" w:cs="宋体"/>
                <w:sz w:val="24"/>
                <w:szCs w:val="24"/>
              </w:rPr>
            </w:pPr>
            <w:r>
              <w:rPr>
                <w:rFonts w:hint="eastAsia" w:ascii="宋体" w:hAnsi="宋体" w:eastAsia="宋体" w:cs="宋体"/>
                <w:sz w:val="24"/>
                <w:szCs w:val="24"/>
              </w:rPr>
              <w:t>本课程应采用理论与实践相结合、讲授与训练相结合的方式进行。教学可采用课堂讲授、案例分析、情景模拟训练、小组讨论、角色扮演等方法进行。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教学媒体: 电子教案、教学课件、案例库、视频库</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教学场景:表演场景、小组互动场景</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工具设备：课程标准、课程授课计划、教材、多媒体教室</w:t>
            </w:r>
          </w:p>
          <w:p>
            <w:pPr>
              <w:widowControl w:val="0"/>
              <w:ind w:firstLine="240" w:firstLineChars="100"/>
              <w:rPr>
                <w:rFonts w:hint="eastAsia" w:ascii="宋体" w:hAnsi="宋体" w:eastAsia="宋体" w:cs="宋体"/>
                <w:sz w:val="24"/>
                <w:szCs w:val="24"/>
              </w:rPr>
            </w:pPr>
            <w:r>
              <w:rPr>
                <w:rFonts w:hint="eastAsia" w:ascii="宋体" w:hAnsi="宋体" w:eastAsia="宋体" w:cs="宋体"/>
                <w:sz w:val="24"/>
                <w:szCs w:val="24"/>
              </w:rPr>
              <w:t>教师配备：教员：37.5%，助教：25%，讲师：25%，副高12.5%</w:t>
            </w:r>
            <w:r>
              <w:rPr>
                <w:rFonts w:hint="eastAsia" w:ascii="宋体" w:hAnsi="宋体" w:eastAsia="宋体" w:cs="宋体"/>
                <w:sz w:val="24"/>
                <w:szCs w:val="24"/>
                <w:lang w:eastAsia="zh-CN"/>
              </w:rPr>
              <w:t>；</w:t>
            </w:r>
            <w:r>
              <w:rPr>
                <w:rFonts w:hint="eastAsia" w:ascii="宋体" w:hAnsi="宋体" w:eastAsia="宋体" w:cs="宋体"/>
                <w:sz w:val="24"/>
                <w:szCs w:val="24"/>
              </w:rPr>
              <w:t>专职教师：44.4% ，行政教师：55.6%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val="0"/>
              <w:ind w:firstLine="0"/>
              <w:jc w:val="left"/>
              <w:rPr>
                <w:rFonts w:hint="eastAsia" w:ascii="宋体" w:hAnsi="宋体" w:eastAsia="宋体" w:cs="宋体"/>
                <w:sz w:val="24"/>
                <w:szCs w:val="24"/>
              </w:rPr>
            </w:pPr>
            <w:r>
              <w:rPr>
                <w:rFonts w:hint="eastAsia" w:ascii="宋体" w:hAnsi="宋体" w:eastAsia="宋体" w:cs="宋体"/>
                <w:sz w:val="24"/>
                <w:szCs w:val="24"/>
              </w:rPr>
              <w:t>学生考核由两部分组成：平时成绩（60%） + 期末考试（40%）</w:t>
            </w:r>
          </w:p>
          <w:p>
            <w:pPr>
              <w:widowControl w:val="0"/>
              <w:numPr>
                <w:ilvl w:val="0"/>
                <w:numId w:val="15"/>
              </w:numPr>
              <w:ind w:firstLine="0"/>
              <w:jc w:val="left"/>
              <w:rPr>
                <w:rFonts w:hint="eastAsia" w:ascii="宋体" w:hAnsi="宋体" w:eastAsia="宋体" w:cs="宋体"/>
                <w:sz w:val="24"/>
                <w:szCs w:val="24"/>
              </w:rPr>
            </w:pPr>
            <w:r>
              <w:rPr>
                <w:rFonts w:hint="eastAsia" w:ascii="宋体" w:hAnsi="宋体" w:eastAsia="宋体" w:cs="宋体"/>
                <w:sz w:val="24"/>
                <w:szCs w:val="24"/>
              </w:rPr>
              <w:t>平时成绩=考勤+课堂表现+作业</w:t>
            </w:r>
          </w:p>
          <w:p>
            <w:pPr>
              <w:widowControl w:val="0"/>
              <w:spacing w:line="400" w:lineRule="exact"/>
              <w:ind w:firstLine="0"/>
              <w:jc w:val="left"/>
              <w:rPr>
                <w:rFonts w:hint="eastAsia" w:ascii="宋体" w:hAnsi="宋体" w:eastAsia="宋体" w:cs="宋体"/>
                <w:sz w:val="24"/>
                <w:szCs w:val="24"/>
              </w:rPr>
            </w:pPr>
            <w:r>
              <w:rPr>
                <w:rFonts w:hint="eastAsia" w:ascii="宋体" w:hAnsi="宋体" w:eastAsia="宋体" w:cs="宋体"/>
                <w:sz w:val="24"/>
                <w:szCs w:val="24"/>
              </w:rPr>
              <w:t>①考勤占总成绩20%，缺勤3次，迟到5次，请假次数超过学期上课总次数的1/4，平时成绩均为0；</w:t>
            </w:r>
          </w:p>
          <w:p>
            <w:pPr>
              <w:widowControl w:val="0"/>
              <w:spacing w:line="400" w:lineRule="exact"/>
              <w:ind w:firstLine="0"/>
              <w:jc w:val="left"/>
              <w:rPr>
                <w:rFonts w:hint="eastAsia" w:ascii="宋体" w:hAnsi="宋体" w:eastAsia="宋体" w:cs="宋体"/>
                <w:sz w:val="24"/>
                <w:szCs w:val="24"/>
              </w:rPr>
            </w:pPr>
            <w:r>
              <w:rPr>
                <w:rFonts w:hint="eastAsia" w:ascii="宋体" w:hAnsi="宋体" w:eastAsia="宋体" w:cs="宋体"/>
                <w:sz w:val="24"/>
                <w:szCs w:val="24"/>
              </w:rPr>
              <w:t>②课堂表现占总成绩20%，可使用云班课来记录课堂参与情况；</w:t>
            </w:r>
          </w:p>
          <w:p>
            <w:pPr>
              <w:widowControl w:val="0"/>
              <w:spacing w:line="400" w:lineRule="exact"/>
              <w:ind w:firstLine="0"/>
              <w:jc w:val="left"/>
              <w:rPr>
                <w:rFonts w:hint="eastAsia" w:ascii="宋体" w:hAnsi="宋体" w:eastAsia="宋体" w:cs="宋体"/>
                <w:sz w:val="24"/>
                <w:szCs w:val="24"/>
              </w:rPr>
            </w:pPr>
            <w:r>
              <w:rPr>
                <w:rFonts w:hint="eastAsia" w:ascii="宋体" w:hAnsi="宋体" w:eastAsia="宋体" w:cs="宋体"/>
                <w:sz w:val="24"/>
                <w:szCs w:val="24"/>
              </w:rPr>
              <w:t>③作业占总成绩20%，一个学期总共四次作业，四次作业成绩的平均值为最终作业成绩。</w:t>
            </w:r>
          </w:p>
          <w:p>
            <w:pPr>
              <w:widowControl w:val="0"/>
              <w:numPr>
                <w:ilvl w:val="0"/>
                <w:numId w:val="15"/>
              </w:numPr>
              <w:ind w:firstLine="0"/>
              <w:jc w:val="left"/>
              <w:rPr>
                <w:rFonts w:hint="eastAsia" w:ascii="宋体" w:hAnsi="宋体" w:eastAsia="宋体" w:cs="宋体"/>
                <w:sz w:val="24"/>
                <w:szCs w:val="24"/>
              </w:rPr>
            </w:pPr>
            <w:r>
              <w:rPr>
                <w:rFonts w:hint="eastAsia" w:ascii="宋体" w:hAnsi="宋体" w:eastAsia="宋体" w:cs="宋体"/>
                <w:sz w:val="24"/>
                <w:szCs w:val="24"/>
              </w:rPr>
              <w:t>期末考试  占总成绩40%。</w:t>
            </w:r>
          </w:p>
          <w:p>
            <w:pPr>
              <w:widowControl w:val="0"/>
              <w:ind w:firstLine="0"/>
              <w:rPr>
                <w:rFonts w:hint="eastAsia" w:ascii="宋体" w:hAnsi="宋体" w:eastAsia="宋体" w:cs="宋体"/>
                <w:sz w:val="24"/>
                <w:szCs w:val="24"/>
              </w:rPr>
            </w:pPr>
            <w:r>
              <w:rPr>
                <w:rFonts w:hint="eastAsia" w:ascii="宋体" w:hAnsi="宋体" w:eastAsia="宋体" w:cs="宋体"/>
                <w:sz w:val="24"/>
                <w:szCs w:val="24"/>
              </w:rPr>
              <w:t>期末考试内容为制定一份职业生涯规划书</w:t>
            </w:r>
          </w:p>
        </w:tc>
      </w:tr>
    </w:tbl>
    <w:p>
      <w:pPr>
        <w:pStyle w:val="2"/>
        <w:rPr>
          <w:rFonts w:hint="eastAsia" w:ascii="宋体" w:hAnsi="宋体" w:eastAsia="宋体" w:cs="宋体"/>
          <w:sz w:val="24"/>
          <w:szCs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大学语文</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0031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理论：144</w:t>
            </w:r>
          </w:p>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实践：8</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1.专业能力目标：阅读一定数量的优秀文学作品，背诵一定数量的名篇；能够写作有个性特点、有创意的一般文章。能够正确理解与欣赏文学作品，描述与评价文学现象；</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2.方法能力目标：具备一定的阅读速度；能够快速查找主要信息及重要细节；具备发现美、欣赏美的文学审美能力。具备一定的阅读速度；能够正确理解与欣赏文学作品，描述与评价文学现象；</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3.社会能力目标：通过作品的阅读和鉴赏，让学生树立正确的人生观和价值观。通过探究、体验，发现美、欣赏美，陶冶美的情操，提升审美境界。让学生树立终身学习的理念，促进学生的自我教育与自我发展。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诗歌</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《国殇》《世界上最远的距离》《长恨歌》《声声慢》《我来到这个世界为的是看太阳》《乡愁》。通过诗歌篇章的学习，了解诗歌的结构、文体，学会品读诗歌，朗诵诗歌，感受诗歌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文言文</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伶官传序》《赤壁赋》《过秦论》《子路、曾皙、冉有、公西华侍坐》《廉颇蔺相如列传》《病梅馆记》。通过对文言文的学习，掌握正反说理突出中心论点的写作方法。学会筛选主要观点、论据、论证的信息能力，学习运用例证法。把握作者情感变化的过程，理清行文的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散文</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《我的母亲》《五味》《清塘荷韵》《假如给我三天光明》《多年父子成兄弟》通过对散文篇章的学习，学习理清文章思路的方法，体会文中作者感情的起伏变化。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戏剧</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《长亭送别》《茶馆》《伪君子》《窦娥冤》《罗密欧与朱丽叶》《玩偶之家》通过对戏剧篇章的学习，了解戏剧的文种，引导欣赏优美曲词，领略此种文学的艺术魅力。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小说</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药》《边城》《警察与赞美诗》《林黛玉进贾府》《祝福》《项链》通过对小说篇章的学习，学习综合运用多种描写方法来塑造人物形象从而深刻揭示小说主题的写作方法。掌握分析结构与人物性格，学习归纳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写作能力培养专题</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公文格式及标点符号、句式调整；公文的基本格式、会议纪要；申请、演讲稿；求职信、消息、简讯；综合职业能力测试、申论。通过写作能力培养专题，对学生应用性写作能力进行提升，帮助学生掌握常用的写作方法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实践课程</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主题演讲、表演。通过实践课程的学习，提升学生的语言表达能力、情感表达能力，同时进一步提升学生对所学篇目的理解和情感感悟。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1.了解高职学生的特点，激发学生学习语文的兴趣。</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2.采用课前预习，课上答疑，重点讲解，课外阅读背诵的系统学习法。</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3.把语文的学习与学生的从业，创业相联系，创设与职业工作相近的情境，帮助学生认识语文在生活和工作中的作用，使学生在语文学习中树立从业创业的自信心。</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4.重视语文课程的育人功能，促进学生整体素质的提高。</w:t>
            </w:r>
          </w:p>
          <w:p>
            <w:pPr>
              <w:widowControl/>
              <w:spacing w:line="440" w:lineRule="exact"/>
              <w:ind w:firstLine="20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5.要充分利用网络资源和现代教育技术，丰富语文教育资源，优化教学环境，提高教学质量。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教学媒体: 电子教案、教学课件、案例库、视频库</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教学场景:朗诵场景、表演场景、小组互动场景</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工具设备：课程标准、课程授课计划、教材、校本教材、多媒体教室</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教师配备：12名教师，其中8名专职教师，4名兼职教师，1名中级，11名初级。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考核与评价要充分考虑职业教育的特点和大学语文课程的教学目标，应该包括知识、技能与能力态度三个方面。</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不仅要检测教学目标的达成情况，更重要的是为教师和学生提供反馈信息，有效地促进教师的教和学生的学。尤其是为了激发学生的学习热情，促进学生的发展。</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全面性原则。在对学生基础知识，基本技能进行评价的同时，要注重对学生学习态度，学习习惯等内容的评价。</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多样性原则。要针对不同的教学内容和学生的实际，采用不同的评价方法，如背诵、作业、课堂问答等多种形式，同时参照平时学习情况（包括出勤、作业、笔记等）进行成绩的综合评定。</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发展性原则。有教无类，要用发展的眼观看待学生和学生的学习过程，充分发挥学生的学习潜力和创造潜能。</w:t>
            </w:r>
          </w:p>
        </w:tc>
      </w:tr>
    </w:tbl>
    <w:tbl>
      <w:tblPr>
        <w:tblStyle w:val="16"/>
        <w:tblpPr w:leftFromText="180" w:rightFromText="180" w:vertAnchor="text" w:horzAnchor="page" w:tblpX="1848" w:tblpY="1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大学英语</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0241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理论：144</w:t>
            </w:r>
          </w:p>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实践：8</w:t>
            </w:r>
          </w:p>
        </w:tc>
        <w:tc>
          <w:tcPr>
            <w:tcW w:w="19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1.专业能力目标：掌握与最基本的生活场景和工作环境相关的英语词汇和句型，听懂最基本的日常请求和论述，清楚表达个人的观点和见解。</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2.方法能力目标：熟练运用英语进行基本的日常交流和基础的公文写作，解决生存和工作需求，以及如何进一步根据个人需要深入英语学习的自学方法。</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3.社会能力目标：了解基本的中西文化差异及交流原则，介绍中国的饮食，民族和旅游特色，以及海外实习或工作中生存必须的文化常识。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Unit1</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在旅行中如何用英语介绍当地的特色风土人情，以及如何订酒店和购物。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80" w:lineRule="auto"/>
              <w:ind w:firstLine="200"/>
              <w:jc w:val="center"/>
              <w:rPr>
                <w:rFonts w:hint="eastAsia" w:ascii="宋体" w:hAnsi="宋体" w:eastAsia="宋体" w:cs="宋体"/>
                <w:sz w:val="24"/>
                <w:szCs w:val="24"/>
              </w:rPr>
            </w:pPr>
            <w:r>
              <w:rPr>
                <w:rFonts w:hint="eastAsia" w:ascii="宋体" w:hAnsi="宋体" w:eastAsia="宋体" w:cs="宋体"/>
                <w:sz w:val="24"/>
                <w:szCs w:val="24"/>
              </w:rPr>
              <w:t>Unit2</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如何用英语介绍当地的美食和饮食文化差异，以及如何读懂通知并撰写通知。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Unit3</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如何用英语表达对社交媒体的态度，支持还是反对？以及如何书写简单的便条。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Unit4</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如何用英语介绍电子竞技等个人爱好或业余生活，以及如何书写备忘录。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Unit5</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如何用英语表达各类职业及其工作环境，以及如何书写电子邮件。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Unit6</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如何用英语表达感情和交流，以及如何撰写邀请函与回帖。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Unit7</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如何用英语表达现代网络生活，以及如何撰写感谢信。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Unit8</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如何用英语表达时尚和买衣服，以及如何撰写求职信。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Unit9</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如何用英语表达商务礼仪和工作面试，以及如何撰写个人简历。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Unit10</w:t>
            </w:r>
          </w:p>
        </w:tc>
        <w:tc>
          <w:tcPr>
            <w:tcW w:w="4048"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如何英语表达网络学习的利弊和发展，以及如何对求职信给与回复。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因材施教法，多媒体辅助教学法，“兴趣激励”法，交互式英语教学法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教学媒体：电子教案、教学课件、案例库、视频库</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教学场景：表演场景、小组互动场景、朗诵场景</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工具设备：电脑，投影仪，蓝牙音箱</w:t>
            </w:r>
          </w:p>
          <w:p>
            <w:pPr>
              <w:widowControl/>
              <w:numPr>
                <w:ilvl w:val="0"/>
                <w:numId w:val="0"/>
              </w:numPr>
              <w:adjustRightInd w:val="0"/>
              <w:snapToGrid w:val="0"/>
              <w:spacing w:line="440" w:lineRule="exact"/>
              <w:ind w:leftChars="0"/>
              <w:jc w:val="left"/>
              <w:rPr>
                <w:rFonts w:hint="eastAsia" w:ascii="宋体" w:hAnsi="宋体" w:eastAsia="宋体" w:cs="宋体"/>
                <w:sz w:val="24"/>
                <w:szCs w:val="24"/>
              </w:rPr>
            </w:pPr>
            <w:r>
              <w:rPr>
                <w:rFonts w:hint="eastAsia" w:ascii="宋体" w:hAnsi="宋体" w:eastAsia="宋体" w:cs="宋体"/>
                <w:sz w:val="24"/>
                <w:szCs w:val="24"/>
              </w:rPr>
              <w:t>教师配备：专职教师11人，兼职教师28人，其中副教授1人，讲师5人。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学期成绩=30%平时成绩+30%半期成绩+40%期末成绩</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注重过程性考核，旨在激发学生的学习兴趣和自信，强调 对学生基础性知识和技能掌握情况的考核。</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平时成绩包括：出勤情况，作业完成情况，课堂表现，学习方法和态度。</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半期考试包括，单元听力测试或口语测试，根据各个班级不同学情多样化进行。</w:t>
            </w:r>
          </w:p>
          <w:p>
            <w:pPr>
              <w:widowControl w:val="0"/>
              <w:spacing w:after="120"/>
              <w:ind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期末考试，主要以闭卷形式进行，全院统一命题。</w:t>
            </w:r>
          </w:p>
        </w:tc>
      </w:tr>
    </w:tbl>
    <w:p>
      <w:pPr>
        <w:pStyle w:val="2"/>
        <w:ind w:left="0" w:leftChars="0" w:firstLine="0" w:firstLineChars="0"/>
        <w:rPr>
          <w:rFonts w:hint="eastAsia" w:ascii="宋体" w:hAnsi="宋体" w:eastAsia="宋体" w:cs="宋体"/>
          <w:sz w:val="24"/>
          <w:szCs w:val="24"/>
        </w:rPr>
      </w:pPr>
    </w:p>
    <w:p>
      <w:pPr>
        <w:pStyle w:val="2"/>
        <w:rPr>
          <w:rFonts w:hint="eastAsia" w:ascii="宋体" w:hAnsi="宋体" w:eastAsia="宋体" w:cs="宋体"/>
          <w:sz w:val="24"/>
          <w:szCs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553"/>
        <w:gridCol w:w="1595"/>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美育—美术鉴赏</w:t>
            </w:r>
          </w:p>
        </w:tc>
        <w:tc>
          <w:tcPr>
            <w:tcW w:w="1595"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2201233545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理论：40</w:t>
            </w:r>
          </w:p>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实践：0</w:t>
            </w:r>
          </w:p>
        </w:tc>
        <w:tc>
          <w:tcPr>
            <w:tcW w:w="1595"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1.专业能力目标：使学生了解美术的基础知识、技能与 原理，熟悉基本审美特征。</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2.方法能力目标：指导学生从自然、社会、文化和艺术等角度进行比较欣赏，更好地理解各民族文化内涵，使学生了解并尊重中西方文化差异，拓展审美视野，形成积极健康的审美观。</w:t>
            </w:r>
          </w:p>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3.社会能力目标：理解作品的思想情感与人文内涵，感受社会美、自然美和艺术美的统一，提高审美能力。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内容（项目）名称</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美术欣赏基础知识</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了解美术鉴赏的基本内容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中国画欣赏</w:t>
            </w:r>
          </w:p>
        </w:tc>
        <w:tc>
          <w:tcPr>
            <w:tcW w:w="3669" w:type="dxa"/>
            <w:gridSpan w:val="2"/>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中国画的特点、赏析各时期作品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中国古、现代雕塑</w:t>
            </w:r>
          </w:p>
        </w:tc>
        <w:tc>
          <w:tcPr>
            <w:tcW w:w="3669" w:type="dxa"/>
            <w:gridSpan w:val="2"/>
          </w:tcPr>
          <w:p>
            <w:pPr>
              <w:widowControl/>
              <w:spacing w:line="44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古代雕塑在不同时期的艺术成就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西方绘画欣赏</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西方绘画客观具象到主观抽象表现的大体脉络及艺术特征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外国雕塑艺术</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外国古代、近代雕塑艺术成就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中国工艺美术</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工艺造型装、饰特点，工艺元素提取在设计中的运用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中国建筑、园林艺术</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中国古代建筑特征与发展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外国建筑、园林艺术</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外国建筑历史发展及特色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553"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现代环境艺术、设计艺术</w:t>
            </w:r>
          </w:p>
        </w:tc>
        <w:tc>
          <w:tcPr>
            <w:tcW w:w="3669"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理解现代环境艺术、设计艺术的重要性及设计原则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40" w:lineRule="exact"/>
              <w:ind w:left="0" w:leftChars="0" w:firstLine="0" w:firstLineChars="0"/>
              <w:jc w:val="both"/>
              <w:rPr>
                <w:rFonts w:hint="eastAsia" w:ascii="宋体" w:hAnsi="宋体" w:eastAsia="宋体" w:cs="宋体"/>
                <w:sz w:val="24"/>
                <w:szCs w:val="24"/>
              </w:rPr>
            </w:pPr>
            <w:r>
              <w:rPr>
                <w:rFonts w:hint="eastAsia" w:ascii="宋体" w:hAnsi="宋体" w:eastAsia="宋体" w:cs="宋体"/>
                <w:sz w:val="24"/>
                <w:szCs w:val="24"/>
              </w:rPr>
              <w:t>讲授法   演示法  视频辅助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spacing w:line="440" w:lineRule="exact"/>
              <w:ind w:firstLine="200"/>
              <w:rPr>
                <w:rFonts w:hint="eastAsia" w:ascii="宋体" w:hAnsi="宋体" w:eastAsia="宋体" w:cs="宋体"/>
                <w:sz w:val="24"/>
                <w:szCs w:val="24"/>
              </w:rPr>
            </w:pPr>
            <w:r>
              <w:rPr>
                <w:rFonts w:hint="eastAsia" w:ascii="宋体" w:hAnsi="宋体" w:eastAsia="宋体" w:cs="宋体"/>
                <w:sz w:val="24"/>
                <w:szCs w:val="24"/>
              </w:rPr>
              <w:t>1.教学媒体：多媒体投影仪</w:t>
            </w:r>
          </w:p>
          <w:p>
            <w:pPr>
              <w:widowControl/>
              <w:spacing w:line="440" w:lineRule="exact"/>
              <w:ind w:firstLine="200"/>
              <w:rPr>
                <w:rFonts w:hint="eastAsia" w:ascii="宋体" w:hAnsi="宋体" w:eastAsia="宋体" w:cs="宋体"/>
                <w:sz w:val="24"/>
                <w:szCs w:val="24"/>
              </w:rPr>
            </w:pPr>
            <w:r>
              <w:rPr>
                <w:rFonts w:hint="eastAsia" w:ascii="宋体" w:hAnsi="宋体" w:eastAsia="宋体" w:cs="宋体"/>
                <w:sz w:val="24"/>
                <w:szCs w:val="24"/>
              </w:rPr>
              <w:t>2.教学场景：教室</w:t>
            </w:r>
          </w:p>
          <w:p>
            <w:pPr>
              <w:widowControl/>
              <w:spacing w:line="440" w:lineRule="exact"/>
              <w:ind w:firstLine="200"/>
              <w:rPr>
                <w:rFonts w:hint="eastAsia" w:ascii="宋体" w:hAnsi="宋体" w:eastAsia="宋体" w:cs="宋体"/>
                <w:sz w:val="24"/>
                <w:szCs w:val="24"/>
              </w:rPr>
            </w:pPr>
            <w:r>
              <w:rPr>
                <w:rFonts w:hint="eastAsia" w:ascii="宋体" w:hAnsi="宋体" w:eastAsia="宋体" w:cs="宋体"/>
                <w:sz w:val="24"/>
                <w:szCs w:val="24"/>
              </w:rPr>
              <w:t>3.工具设备:多媒体投影仪.教材</w:t>
            </w:r>
          </w:p>
          <w:p>
            <w:pPr>
              <w:widowControl/>
              <w:spacing w:line="440" w:lineRule="exact"/>
              <w:ind w:firstLine="200"/>
              <w:rPr>
                <w:rFonts w:hint="eastAsia" w:ascii="宋体" w:hAnsi="宋体" w:eastAsia="宋体" w:cs="宋体"/>
                <w:sz w:val="24"/>
                <w:szCs w:val="24"/>
              </w:rPr>
            </w:pPr>
            <w:r>
              <w:rPr>
                <w:rFonts w:hint="eastAsia" w:ascii="宋体" w:hAnsi="宋体" w:eastAsia="宋体" w:cs="宋体"/>
                <w:sz w:val="24"/>
                <w:szCs w:val="24"/>
              </w:rPr>
              <w:t>4.教师配备：校内任课教师共8名，大学本科以上学历，具有高校资格证，有相应的专业技术职称，其中中级以上职称70%。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spacing w:line="440" w:lineRule="exact"/>
              <w:ind w:firstLine="200"/>
              <w:jc w:val="center"/>
              <w:rPr>
                <w:rFonts w:hint="eastAsia" w:ascii="宋体" w:hAnsi="宋体" w:eastAsia="宋体" w:cs="宋体"/>
                <w:sz w:val="24"/>
                <w:szCs w:val="24"/>
              </w:rPr>
            </w:pPr>
          </w:p>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上课考勤30%+课程项目作业80%</w:t>
            </w:r>
          </w:p>
        </w:tc>
      </w:tr>
    </w:tbl>
    <w:p>
      <w:pPr>
        <w:pStyle w:val="2"/>
        <w:rPr>
          <w:rFonts w:hint="eastAsia" w:ascii="宋体" w:hAnsi="宋体" w:eastAsia="宋体" w:cs="宋体"/>
          <w:sz w:val="24"/>
          <w:szCs w:val="24"/>
        </w:rPr>
      </w:pPr>
    </w:p>
    <w:tbl>
      <w:tblPr>
        <w:tblStyle w:val="1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21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心理健康</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课程代码</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0271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学时</w:t>
            </w:r>
          </w:p>
        </w:tc>
        <w:tc>
          <w:tcPr>
            <w:tcW w:w="2174" w:type="dxa"/>
          </w:tcPr>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理论：38</w:t>
            </w:r>
          </w:p>
          <w:p>
            <w:pPr>
              <w:widowControl/>
              <w:adjustRightInd w:val="0"/>
              <w:snapToGrid w:val="0"/>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实践：2</w:t>
            </w:r>
          </w:p>
        </w:tc>
        <w:tc>
          <w:tcPr>
            <w:tcW w:w="19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学分</w:t>
            </w:r>
          </w:p>
        </w:tc>
        <w:tc>
          <w:tcPr>
            <w:tcW w:w="2074" w:type="dxa"/>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学习目标</w:t>
            </w:r>
          </w:p>
        </w:tc>
        <w:tc>
          <w:tcPr>
            <w:tcW w:w="6222" w:type="dxa"/>
            <w:gridSpan w:val="3"/>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1.专业能力目标：通过本课程的教学，使学生了解心理健康的有关理论和基本概念，明确心理健康的标准及意义，了解大学阶段人的心理发展特征及异常表现，掌握自我调适的基本知识。</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2.方法能力目标：通过本课程的教学，指导大学生树立心理保健意识，认识心理活动的规律与自身个性特点，掌握心理健康知识和心理调适方法，学会化解心理困扰。指导他们处理好环境适应、学习成才、人际交往、恋爱情感、求职择业、人格发展、情绪调节和挫折应对等方面的困惑，化解心理问题，预防心理疾病和危机事件发生，促进健康成长。</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3.社会能力目标：通过本课程的教学，指导大学生树立自我意识，学会正确认识评价自己，悦纳自我，增强社会生活的适应能力、压力管理能力、学习发展能力、问题解决能力、人际交往能力、自我管理能力，科学规划自己的未来和人生。引导他们拥有乐观向上、积极进取的人生态度，学会学习，培养创造性思维，训练坚强意志，优化心理品质，培养健全人格，开发心理潜能，促进全面成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学习内容</w:t>
            </w:r>
          </w:p>
        </w:tc>
        <w:tc>
          <w:tcPr>
            <w:tcW w:w="2174" w:type="dxa"/>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内容（项目）名称</w:t>
            </w:r>
          </w:p>
        </w:tc>
        <w:tc>
          <w:tcPr>
            <w:tcW w:w="4048" w:type="dxa"/>
            <w:gridSpan w:val="2"/>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kern w:val="0"/>
                <w:sz w:val="24"/>
                <w:szCs w:val="24"/>
              </w:rPr>
              <w:t>心理健康知多少</w:t>
            </w:r>
          </w:p>
        </w:tc>
        <w:tc>
          <w:tcPr>
            <w:tcW w:w="4048" w:type="dxa"/>
            <w:gridSpan w:val="2"/>
          </w:tcPr>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1.了解心理健康的内涵、标准</w:t>
            </w:r>
          </w:p>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2.增进个人心理健康的方法</w:t>
            </w:r>
          </w:p>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3.培养学生健康的个人心理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做最好的自己</w:t>
            </w:r>
          </w:p>
        </w:tc>
        <w:tc>
          <w:tcPr>
            <w:tcW w:w="4048" w:type="dxa"/>
            <w:gridSpan w:val="2"/>
          </w:tcPr>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1.理解自我形象的定义及其影响因素</w:t>
            </w:r>
          </w:p>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2.比较清晰地形成自己的自我形象</w:t>
            </w:r>
          </w:p>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3.塑造一个比较健康准确的自我形象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情商节节高</w:t>
            </w:r>
          </w:p>
        </w:tc>
        <w:tc>
          <w:tcPr>
            <w:tcW w:w="4048" w:type="dxa"/>
            <w:gridSpan w:val="2"/>
          </w:tcPr>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1.了解“情商”理论的发展历程，理解“情商”的概念，认识“情绪”的种类</w:t>
            </w:r>
          </w:p>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2.学习正确识别他人感受、恰当表达自己的感受</w:t>
            </w:r>
          </w:p>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3.调节自我情商，管理自我情绪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沟通无极限</w:t>
            </w:r>
          </w:p>
        </w:tc>
        <w:tc>
          <w:tcPr>
            <w:tcW w:w="4048" w:type="dxa"/>
            <w:gridSpan w:val="2"/>
          </w:tcPr>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1.了解沟通对我们生活、学习、工作的重要性</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2.如何进行良好有效的沟通</w:t>
            </w:r>
          </w:p>
          <w:p>
            <w:pPr>
              <w:widowControl/>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3.学会与人为善、沟通至上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与你谈情又说爱</w:t>
            </w:r>
          </w:p>
        </w:tc>
        <w:tc>
          <w:tcPr>
            <w:tcW w:w="4048" w:type="dxa"/>
            <w:gridSpan w:val="2"/>
          </w:tcPr>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使学生理解爱情的基本内涵</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2.帮助学生树立正确的恋爱观</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3.帮助学生树立正确的人生观，恋爱观，性爱观。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应对压力有良方</w:t>
            </w:r>
          </w:p>
        </w:tc>
        <w:tc>
          <w:tcPr>
            <w:tcW w:w="4048" w:type="dxa"/>
            <w:gridSpan w:val="2"/>
          </w:tcPr>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1.学会评估压力</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2.能找到压力的源头</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3.学会与压力共处</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4.学会管理压力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生命真精彩</w:t>
            </w:r>
          </w:p>
        </w:tc>
        <w:tc>
          <w:tcPr>
            <w:tcW w:w="4048" w:type="dxa"/>
            <w:gridSpan w:val="2"/>
          </w:tcPr>
          <w:p>
            <w:pPr>
              <w:widowControl w:val="0"/>
              <w:numPr>
                <w:ilvl w:val="0"/>
                <w:numId w:val="16"/>
              </w:numPr>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使学生们懂得人生生命的意义与重要性</w:t>
            </w:r>
          </w:p>
          <w:p>
            <w:pPr>
              <w:widowControl w:val="0"/>
              <w:numPr>
                <w:ilvl w:val="0"/>
                <w:numId w:val="16"/>
              </w:numPr>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思考如何活出生命的精彩</w:t>
            </w:r>
          </w:p>
          <w:p>
            <w:pPr>
              <w:widowControl w:val="0"/>
              <w:numPr>
                <w:ilvl w:val="0"/>
                <w:numId w:val="16"/>
              </w:numPr>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获得必备的心理健康知识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我的生涯我做主</w:t>
            </w:r>
          </w:p>
        </w:tc>
        <w:tc>
          <w:tcPr>
            <w:tcW w:w="4048" w:type="dxa"/>
            <w:gridSpan w:val="2"/>
          </w:tcPr>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1.提高学生的生涯自主意识，为自己的生涯负责</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2.扩展对生涯概念的理解</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3.树立“生涯可规划”的信念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4"/>
                <w:szCs w:val="24"/>
              </w:rPr>
            </w:pPr>
          </w:p>
        </w:tc>
        <w:tc>
          <w:tcPr>
            <w:tcW w:w="2174" w:type="dxa"/>
          </w:tcPr>
          <w:p>
            <w:pPr>
              <w:widowControl/>
              <w:spacing w:line="440" w:lineRule="exact"/>
              <w:ind w:firstLine="200"/>
              <w:jc w:val="left"/>
              <w:rPr>
                <w:rFonts w:hint="eastAsia" w:ascii="宋体" w:hAnsi="宋体" w:eastAsia="宋体" w:cs="宋体"/>
                <w:sz w:val="24"/>
                <w:szCs w:val="24"/>
              </w:rPr>
            </w:pPr>
            <w:r>
              <w:rPr>
                <w:rFonts w:hint="eastAsia" w:ascii="宋体" w:hAnsi="宋体" w:eastAsia="宋体" w:cs="宋体"/>
                <w:sz w:val="24"/>
                <w:szCs w:val="24"/>
              </w:rPr>
              <w:t>实践</w:t>
            </w:r>
          </w:p>
        </w:tc>
        <w:tc>
          <w:tcPr>
            <w:tcW w:w="4048" w:type="dxa"/>
            <w:gridSpan w:val="2"/>
          </w:tcPr>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心理测试</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1.考试焦虑自评量表</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2.职业个性测试</w:t>
            </w:r>
          </w:p>
          <w:p>
            <w:pPr>
              <w:widowControl w:val="0"/>
              <w:spacing w:after="120"/>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3.多元智力类型的自我检测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教学方法设计</w:t>
            </w:r>
          </w:p>
        </w:tc>
        <w:tc>
          <w:tcPr>
            <w:tcW w:w="6222" w:type="dxa"/>
            <w:gridSpan w:val="3"/>
          </w:tcPr>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课程采用理论与体验教学相结合、讲授与训练相结合的教学方法，如课堂讲授、案例分析、小组讨论、心理测试、团体训练、情境表演、角色扮演、体验活动、课堂提问等方式，激发学生学习心理健康的兴趣。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2074" w:type="dxa"/>
            <w:vAlign w:val="center"/>
          </w:tcPr>
          <w:p>
            <w:pPr>
              <w:widowControl/>
              <w:spacing w:line="440" w:lineRule="exact"/>
              <w:ind w:firstLine="200"/>
              <w:jc w:val="center"/>
              <w:rPr>
                <w:rFonts w:hint="eastAsia" w:ascii="宋体" w:hAnsi="宋体" w:eastAsia="宋体" w:cs="宋体"/>
                <w:sz w:val="24"/>
                <w:szCs w:val="24"/>
              </w:rPr>
            </w:pPr>
            <w:r>
              <w:rPr>
                <w:rFonts w:hint="eastAsia" w:ascii="宋体" w:hAnsi="宋体" w:eastAsia="宋体" w:cs="宋体"/>
                <w:sz w:val="24"/>
                <w:szCs w:val="24"/>
              </w:rPr>
              <w:t>教学条件</w:t>
            </w:r>
          </w:p>
        </w:tc>
        <w:tc>
          <w:tcPr>
            <w:tcW w:w="6222" w:type="dxa"/>
            <w:gridSpan w:val="3"/>
          </w:tcPr>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1.心理健康咨询室：学院有课程团体活动室和常用的团体活动器材，可满足一般的活动课程要求。</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2.教学媒体：多媒体教室</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3.教学场景：巧设不同教学场景，使学生积极情绪得到激发。教学过程中穿插分组游戏，增强学生兴趣；巧设心理健康实践场景和心理测试，提高学生心理健康学习主动性；巧设分组合作场景，培养学生团队意识。</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4.工具设备：与教学相关的教学视频、音乐、资料等。</w:t>
            </w:r>
          </w:p>
          <w:p>
            <w:pPr>
              <w:widowControl/>
              <w:adjustRightInd w:val="0"/>
              <w:snapToGrid w:val="0"/>
              <w:spacing w:line="440" w:lineRule="exact"/>
              <w:ind w:firstLine="0"/>
              <w:jc w:val="left"/>
              <w:rPr>
                <w:rFonts w:hint="eastAsia" w:ascii="宋体" w:hAnsi="宋体" w:eastAsia="宋体" w:cs="宋体"/>
                <w:sz w:val="24"/>
                <w:szCs w:val="24"/>
              </w:rPr>
            </w:pPr>
            <w:r>
              <w:rPr>
                <w:rFonts w:hint="eastAsia" w:ascii="宋体" w:hAnsi="宋体" w:eastAsia="宋体" w:cs="宋体"/>
                <w:sz w:val="24"/>
                <w:szCs w:val="24"/>
              </w:rPr>
              <w:t>5.教师配备：目前，担任心理健康课程的教师共25人（其中副教授4人，讲师11人，助教9人，教员1人），授课教师皆具备相应的教师资格、文化素养与职业道德，具有心理健康专业全面而扎实的专业知识和技能。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4" w:hRule="atLeast"/>
        </w:trPr>
        <w:tc>
          <w:tcPr>
            <w:tcW w:w="2074" w:type="dxa"/>
            <w:vAlign w:val="center"/>
          </w:tcPr>
          <w:p>
            <w:pPr>
              <w:widowControl/>
              <w:spacing w:line="440" w:lineRule="exact"/>
              <w:ind w:firstLine="0"/>
              <w:jc w:val="center"/>
              <w:rPr>
                <w:rFonts w:hint="eastAsia" w:ascii="宋体" w:hAnsi="宋体" w:eastAsia="宋体" w:cs="宋体"/>
                <w:sz w:val="24"/>
                <w:szCs w:val="24"/>
              </w:rPr>
            </w:pPr>
            <w:r>
              <w:rPr>
                <w:rFonts w:hint="eastAsia" w:ascii="宋体" w:hAnsi="宋体" w:eastAsia="宋体" w:cs="宋体"/>
                <w:sz w:val="24"/>
                <w:szCs w:val="24"/>
              </w:rPr>
              <w:t>考核方式与标准</w:t>
            </w:r>
          </w:p>
        </w:tc>
        <w:tc>
          <w:tcPr>
            <w:tcW w:w="6222" w:type="dxa"/>
            <w:gridSpan w:val="3"/>
          </w:tcPr>
          <w:p>
            <w:pPr>
              <w:widowControl/>
              <w:spacing w:line="440" w:lineRule="exact"/>
              <w:ind w:firstLine="0"/>
              <w:rPr>
                <w:rFonts w:hint="eastAsia" w:ascii="宋体" w:hAnsi="宋体" w:eastAsia="宋体" w:cs="宋体"/>
                <w:sz w:val="24"/>
                <w:szCs w:val="24"/>
              </w:rPr>
            </w:pPr>
            <w:r>
              <w:rPr>
                <w:rFonts w:hint="eastAsia" w:ascii="宋体" w:hAnsi="宋体" w:eastAsia="宋体" w:cs="宋体"/>
                <w:sz w:val="24"/>
                <w:szCs w:val="24"/>
              </w:rPr>
              <w:t>《心理健康教育》课程考核方式为考查，采用过程性评估和形成性评估相结合的方式对学生进行自主考核，考查学生对心理健康相关概念的掌握情况。</w:t>
            </w:r>
          </w:p>
          <w:p>
            <w:pPr>
              <w:widowControl w:val="0"/>
              <w:spacing w:after="120"/>
              <w:ind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考查成绩由二部分组成：</w:t>
            </w:r>
          </w:p>
          <w:p>
            <w:pPr>
              <w:widowControl w:val="0"/>
              <w:spacing w:after="120"/>
              <w:ind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1、过程评价占60%。其中，出勤10%、学习态度10%、课堂参与20%、作业20%。</w:t>
            </w:r>
          </w:p>
          <w:p>
            <w:pPr>
              <w:widowControl w:val="0"/>
              <w:spacing w:after="120"/>
              <w:ind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2、课程结束综合考核占40%（采用开卷形式，如实践性作业、学习总结、学习心得、案例分析、心理剧展示等均可），考查试卷暂由授课教师保管）</w:t>
            </w:r>
          </w:p>
          <w:p>
            <w:pPr>
              <w:widowControl w:val="0"/>
              <w:spacing w:after="120"/>
              <w:ind w:firstLine="0" w:firstLineChars="0"/>
              <w:jc w:val="both"/>
              <w:rPr>
                <w:rFonts w:hint="eastAsia" w:ascii="宋体" w:hAnsi="宋体" w:eastAsia="宋体" w:cs="宋体"/>
                <w:kern w:val="2"/>
                <w:sz w:val="24"/>
                <w:szCs w:val="24"/>
                <w:lang w:val="en-US" w:eastAsia="zh-CN" w:bidi="ar-SA"/>
              </w:rPr>
            </w:pPr>
          </w:p>
        </w:tc>
      </w:tr>
    </w:tbl>
    <w:p>
      <w:pPr>
        <w:pStyle w:val="2"/>
        <w:ind w:left="0" w:leftChars="0" w:firstLine="0" w:firstLineChars="0"/>
      </w:pPr>
    </w:p>
    <w:p>
      <w:pPr>
        <w:pStyle w:val="2"/>
        <w:numPr>
          <w:ilvl w:val="0"/>
          <w:numId w:val="17"/>
        </w:numPr>
        <w:spacing w:after="0" w:line="440" w:lineRule="exact"/>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专业（技能）课程</w:t>
      </w: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课程名称</w:t>
            </w:r>
          </w:p>
        </w:tc>
        <w:tc>
          <w:tcPr>
            <w:tcW w:w="21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旅游学概论</w:t>
            </w:r>
          </w:p>
        </w:tc>
        <w:tc>
          <w:tcPr>
            <w:tcW w:w="19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课程代码</w:t>
            </w:r>
          </w:p>
        </w:tc>
        <w:tc>
          <w:tcPr>
            <w:tcW w:w="20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22080005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学时</w:t>
            </w:r>
          </w:p>
        </w:tc>
        <w:tc>
          <w:tcPr>
            <w:tcW w:w="2174" w:type="dxa"/>
          </w:tcPr>
          <w:p>
            <w:pPr>
              <w:adjustRightInd w:val="0"/>
              <w:snapToGrid w:val="0"/>
              <w:spacing w:line="240" w:lineRule="atLeast"/>
              <w:ind w:firstLine="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理论：</w:t>
            </w:r>
            <w:r>
              <w:rPr>
                <w:rFonts w:hint="eastAsia" w:ascii="宋体" w:hAnsi="宋体" w:eastAsia="宋体" w:cs="宋体"/>
                <w:color w:val="000000" w:themeColor="text1"/>
                <w:sz w:val="24"/>
                <w:szCs w:val="24"/>
                <w:lang w:val="en-US" w:eastAsia="zh-CN"/>
                <w14:textFill>
                  <w14:solidFill>
                    <w14:schemeClr w14:val="tx1"/>
                  </w14:solidFill>
                </w14:textFill>
              </w:rPr>
              <w:t>80</w:t>
            </w:r>
          </w:p>
          <w:p>
            <w:pPr>
              <w:adjustRightInd w:val="0"/>
              <w:snapToGrid w:val="0"/>
              <w:spacing w:line="240" w:lineRule="atLeas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实践：</w:t>
            </w:r>
          </w:p>
        </w:tc>
        <w:tc>
          <w:tcPr>
            <w:tcW w:w="19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学分</w:t>
            </w:r>
          </w:p>
        </w:tc>
        <w:tc>
          <w:tcPr>
            <w:tcW w:w="2074" w:type="dxa"/>
          </w:tcPr>
          <w:p>
            <w:pPr>
              <w:ind w:firstLine="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学习目标</w:t>
            </w:r>
          </w:p>
        </w:tc>
        <w:tc>
          <w:tcPr>
            <w:tcW w:w="6222" w:type="dxa"/>
            <w:gridSpan w:val="3"/>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1.专业能力目标：了解旅游业的产生与发展、旅游的构成要素。</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2.方法能力目标：通过对国际、国内旅游业的了解认识当今旅游业的发展趋势。</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3.社会能力目标：能达到为旅游业的发展做出相应的贡献。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学习内容</w:t>
            </w:r>
          </w:p>
        </w:tc>
        <w:tc>
          <w:tcPr>
            <w:tcW w:w="2174" w:type="dxa"/>
          </w:tcPr>
          <w:p>
            <w:pPr>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内容（项目）名称</w:t>
            </w:r>
          </w:p>
        </w:tc>
        <w:tc>
          <w:tcPr>
            <w:tcW w:w="4048" w:type="dxa"/>
            <w:gridSpan w:val="2"/>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旅游与旅游业</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1.什么是旅游</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2.旅游业的发展趋势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旅游业的影响</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1.旅游业对经济的影响</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2.旅游业对社会的影响</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3.旅游业对环境的影响</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4.旅游业对文化的影响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旅游者与旅游需求</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1.旅游者</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2.旅游动机</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3.旅游需求与影响因素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旅游资源</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1.旅游资源的分类</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2.旅游资源的调查与评价</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3.旅游资源开发与保护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旅游容量与可持续旅游发展</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1.旅游流</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2.旅游容量</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3.旅游容量的测定</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4.可持续旅游发展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教学方法设计</w:t>
            </w:r>
          </w:p>
        </w:tc>
        <w:tc>
          <w:tcPr>
            <w:tcW w:w="6222" w:type="dxa"/>
            <w:gridSpan w:val="3"/>
          </w:tcPr>
          <w:p>
            <w:pPr>
              <w:pStyle w:val="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案例导入、小组讨论、课堂提问等。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教学条件</w:t>
            </w:r>
          </w:p>
        </w:tc>
        <w:tc>
          <w:tcPr>
            <w:tcW w:w="6222" w:type="dxa"/>
            <w:gridSpan w:val="3"/>
          </w:tcPr>
          <w:p>
            <w:pPr>
              <w:pStyle w:val="21"/>
              <w:numPr>
                <w:ilvl w:val="0"/>
                <w:numId w:val="0"/>
              </w:numPr>
              <w:adjustRightInd w:val="0"/>
              <w:snapToGrid w:val="0"/>
              <w:spacing w:line="440" w:lineRule="exact"/>
              <w:ind w:lef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教学媒体：多媒体教室</w:t>
            </w:r>
          </w:p>
          <w:p>
            <w:pPr>
              <w:pStyle w:val="21"/>
              <w:numPr>
                <w:ilvl w:val="0"/>
                <w:numId w:val="0"/>
              </w:numPr>
              <w:adjustRightInd w:val="0"/>
              <w:snapToGrid w:val="0"/>
              <w:spacing w:line="440" w:lineRule="exact"/>
              <w:ind w:lef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教学场景：</w:t>
            </w:r>
            <w:r>
              <w:rPr>
                <w:rFonts w:hint="eastAsia" w:ascii="宋体" w:hAnsi="宋体" w:eastAsia="宋体" w:cs="宋体"/>
                <w:color w:val="000000" w:themeColor="text1"/>
                <w:kern w:val="0"/>
                <w:sz w:val="24"/>
                <w:szCs w:val="24"/>
                <w14:textFill>
                  <w14:solidFill>
                    <w14:schemeClr w14:val="tx1"/>
                  </w14:solidFill>
                </w14:textFill>
              </w:rPr>
              <w:t>巧设不同教学场景，使学生智慧得到激发、个性得以张扬。教学过程中穿插游戏，增强学生注意力；巧设实践场景，提高学生学习主动性；巧设合作场景，培养学生团队意识。</w:t>
            </w:r>
          </w:p>
          <w:p>
            <w:pPr>
              <w:pStyle w:val="21"/>
              <w:numPr>
                <w:ilvl w:val="0"/>
                <w:numId w:val="0"/>
              </w:numPr>
              <w:adjustRightInd w:val="0"/>
              <w:snapToGrid w:val="0"/>
              <w:spacing w:line="440" w:lineRule="exact"/>
              <w:ind w:lef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工具设备：与教学相关的教学视频、音乐、资料等。</w:t>
            </w:r>
          </w:p>
          <w:p>
            <w:pPr>
              <w:pStyle w:val="21"/>
              <w:numPr>
                <w:ilvl w:val="0"/>
                <w:numId w:val="0"/>
              </w:numPr>
              <w:adjustRightInd w:val="0"/>
              <w:snapToGrid w:val="0"/>
              <w:spacing w:line="440" w:lineRule="exact"/>
              <w:ind w:lef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师配备：授课教师需要具备相应的文化素养与职业道德，具有旅游管理专业全面而扎实的专业知识和技能。教师要在掌握所教课程的基础上，进一步扩展相关领域的知识，掌握旅游业的相关最新政策与发展动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考核方式与标准</w:t>
            </w:r>
          </w:p>
        </w:tc>
        <w:tc>
          <w:tcPr>
            <w:tcW w:w="6222" w:type="dxa"/>
            <w:gridSpan w:val="3"/>
            <w:vAlign w:val="center"/>
          </w:tcPr>
          <w:p>
            <w:pPr>
              <w:spacing w:line="440" w:lineRule="exact"/>
              <w:ind w:firstLine="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1.通过考试考查学生对旅游行业相关概念的掌握情况。</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2.通过平时成绩了解学生对旅游业的认知和发展的思想理念。</w:t>
            </w:r>
          </w:p>
        </w:tc>
      </w:tr>
    </w:tbl>
    <w:p>
      <w:pPr>
        <w:pStyle w:val="2"/>
        <w:spacing w:after="0" w:line="440" w:lineRule="exact"/>
        <w:ind w:firstLine="0" w:firstLineChars="0"/>
        <w:rPr>
          <w:rFonts w:hint="eastAsia" w:ascii="宋体" w:hAnsi="宋体" w:eastAsia="宋体" w:cs="宋体"/>
          <w:color w:val="000000" w:themeColor="text1"/>
          <w:sz w:val="24"/>
          <w:szCs w:val="24"/>
          <w14:textFill>
            <w14:solidFill>
              <w14:schemeClr w14:val="tx1"/>
            </w14:solidFill>
          </w14:textFill>
        </w:rPr>
      </w:pP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9"/>
        <w:gridCol w:w="2189"/>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059"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课程名称</w:t>
            </w:r>
          </w:p>
        </w:tc>
        <w:tc>
          <w:tcPr>
            <w:tcW w:w="2189" w:type="dxa"/>
            <w:vAlign w:val="center"/>
          </w:tcPr>
          <w:p>
            <w:pPr>
              <w:spacing w:before="100" w:beforeAutospacing="1" w:after="100" w:afterAutospacing="1"/>
              <w:ind w:firstLine="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旅行社经营管理</w:t>
            </w:r>
          </w:p>
        </w:tc>
        <w:tc>
          <w:tcPr>
            <w:tcW w:w="19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课程代码</w:t>
            </w:r>
          </w:p>
        </w:tc>
        <w:tc>
          <w:tcPr>
            <w:tcW w:w="20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22080009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学时</w:t>
            </w:r>
          </w:p>
        </w:tc>
        <w:tc>
          <w:tcPr>
            <w:tcW w:w="2189" w:type="dxa"/>
          </w:tcPr>
          <w:p>
            <w:pPr>
              <w:adjustRightInd w:val="0"/>
              <w:snapToGrid w:val="0"/>
              <w:spacing w:line="240" w:lineRule="atLeas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理论： 80</w:t>
            </w:r>
          </w:p>
          <w:p>
            <w:pPr>
              <w:adjustRightInd w:val="0"/>
              <w:snapToGrid w:val="0"/>
              <w:spacing w:line="240" w:lineRule="atLeas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实践：</w:t>
            </w:r>
          </w:p>
        </w:tc>
        <w:tc>
          <w:tcPr>
            <w:tcW w:w="19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学分</w:t>
            </w:r>
          </w:p>
        </w:tc>
        <w:tc>
          <w:tcPr>
            <w:tcW w:w="20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学习目标</w:t>
            </w:r>
          </w:p>
        </w:tc>
        <w:tc>
          <w:tcPr>
            <w:tcW w:w="6237" w:type="dxa"/>
            <w:gridSpan w:val="3"/>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专业能力目标：收到计划后应认真阅读,以书面形式回执确认,及时将计划输入电脑的能力；发布和落实旅游团的接待计划和变更通知,按要求安排旅游团的吃、住、行、游、购、娱等事项,并负责客房自订项目的验证与落实的能力；监期接待计划的实施和协助处理旅游团在途中遇到的各种问题的能力；负责落实参观、访问、拜会等特殊要求的落实工作的能力；协助相关合作单位的能力；参加业务培训和考核,提高工作水平和服务质量的能力；发放陪同接待须知,完成部门经理布置的其他工作的能力。</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2.方法能力目标：独立学习能力；精确的预算力；良好的人际关系和较强的交际能力；良好的计算机应用能力。</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3.社会能力目标：与业务部门之间具有强烈的团队协作合作意识；顾客至上的服务意识。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Merge w:val="restart"/>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学习内容</w:t>
            </w:r>
          </w:p>
        </w:tc>
        <w:tc>
          <w:tcPr>
            <w:tcW w:w="2189" w:type="dxa"/>
          </w:tcPr>
          <w:p>
            <w:pPr>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内容（项目）名称</w:t>
            </w:r>
          </w:p>
        </w:tc>
        <w:tc>
          <w:tcPr>
            <w:tcW w:w="4048" w:type="dxa"/>
            <w:gridSpan w:val="2"/>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89"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旅游线路设计</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1.旅行社产品的类型及开发原则</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2.旅游线路的构成要素及内容</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3.旅游线路设计的基本要求及方法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89"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业务接待</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1.旅行社前台接待礼仪</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2.前台接待的程序和方法</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3.旅行社旅游产品的类型及相关知识</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4.国内旅游组团计调操作</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5.国内旅游线路的操作流程</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6.出团计划的编写方法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Merge w:val="continue"/>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89"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旅游团队动态管理</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1.临时调整、增减行程的处理方法。</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2.交通的延误、变更类问题的处理方法。</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3.住宿酒店、餐饮类问题不符合客人要求等问题的应急处理方法。</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4.对导游投诉和更换导游、购物安排、退还商品、娱乐活动类问题的应急处理方法。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059"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教学方法设计</w:t>
            </w:r>
          </w:p>
        </w:tc>
        <w:tc>
          <w:tcPr>
            <w:tcW w:w="6237" w:type="dxa"/>
            <w:gridSpan w:val="3"/>
          </w:tcPr>
          <w:p>
            <w:pPr>
              <w:pStyle w:val="2"/>
              <w:spacing w:line="440" w:lineRule="exact"/>
              <w:ind w:firstLine="0" w:firstLineChars="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运用蓝墨云班课的教学手段进行情景教学、案例分析、小组讨论、演示等教学法。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059"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教学条件</w:t>
            </w:r>
          </w:p>
        </w:tc>
        <w:tc>
          <w:tcPr>
            <w:tcW w:w="6237" w:type="dxa"/>
            <w:gridSpan w:val="3"/>
          </w:tcPr>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1.教学媒体：多媒体教室。</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2.教学场景：</w:t>
            </w:r>
            <w:r>
              <w:rPr>
                <w:rFonts w:hint="eastAsia" w:ascii="宋体" w:hAnsi="宋体" w:eastAsia="宋体" w:cs="宋体"/>
                <w:color w:val="000000" w:themeColor="text1"/>
                <w:kern w:val="0"/>
                <w:sz w:val="24"/>
                <w:szCs w:val="24"/>
                <w14:textFill>
                  <w14:solidFill>
                    <w14:schemeClr w14:val="tx1"/>
                  </w14:solidFill>
                </w14:textFill>
              </w:rPr>
              <w:t>巧设实践场景，提高学生学习的主动性；巧设合作场景，培养学生团队意识。</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3.工具设备：与教学相关的教学视频、音乐、资料等。</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4.教师配备：授课教师需要具备相应的文化素养与职业道德，具有旅行社管理相关的专业理论知识，并且掌握旅行社的发展动态。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2059"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考核方式与标准</w:t>
            </w:r>
          </w:p>
        </w:tc>
        <w:tc>
          <w:tcPr>
            <w:tcW w:w="6237" w:type="dxa"/>
            <w:gridSpan w:val="3"/>
          </w:tcPr>
          <w:p>
            <w:pPr>
              <w:spacing w:line="440" w:lineRule="exact"/>
              <w:ind w:firstLine="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通过过程考核检验学生学习成果：</w:t>
            </w:r>
          </w:p>
          <w:p>
            <w:pPr>
              <w:spacing w:line="440" w:lineRule="exact"/>
              <w:ind w:firstLine="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1.小组成果：</w:t>
            </w:r>
          </w:p>
          <w:p>
            <w:pPr>
              <w:spacing w:line="440" w:lineRule="exact"/>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旅行社线路设计</w:t>
            </w:r>
          </w:p>
          <w:p>
            <w:pPr>
              <w:spacing w:line="440" w:lineRule="exact"/>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旅行社促销方案</w:t>
            </w:r>
          </w:p>
          <w:p>
            <w:pPr>
              <w:spacing w:line="440" w:lineRule="exact"/>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地接社接待计划落实与实施</w:t>
            </w:r>
          </w:p>
          <w:p>
            <w:pPr>
              <w:spacing w:line="440" w:lineRule="exact"/>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团队结算单</w:t>
            </w:r>
          </w:p>
          <w:p>
            <w:pPr>
              <w:spacing w:line="440" w:lineRule="exact"/>
              <w:ind w:firstLine="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2.个人成果: </w:t>
            </w:r>
          </w:p>
          <w:p>
            <w:pPr>
              <w:spacing w:line="440" w:lineRule="exact"/>
              <w:ind w:firstLine="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组团社出团计划的编制</w:t>
            </w:r>
          </w:p>
          <w:p>
            <w:pPr>
              <w:spacing w:line="440" w:lineRule="exact"/>
              <w:ind w:firstLine="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旅行社线路设计 </w:t>
            </w:r>
          </w:p>
          <w:p>
            <w:pPr>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旅游团队动态管理案例分析报告</w:t>
            </w:r>
          </w:p>
        </w:tc>
      </w:tr>
    </w:tbl>
    <w:p>
      <w:pPr>
        <w:pStyle w:val="2"/>
        <w:spacing w:after="0" w:line="440" w:lineRule="exact"/>
        <w:ind w:firstLine="0" w:firstLineChars="0"/>
        <w:rPr>
          <w:rFonts w:hint="eastAsia" w:ascii="宋体" w:hAnsi="宋体" w:eastAsia="宋体" w:cs="宋体"/>
          <w:color w:val="000000" w:themeColor="text1"/>
          <w:sz w:val="24"/>
          <w:szCs w:val="24"/>
          <w14:textFill>
            <w14:solidFill>
              <w14:schemeClr w14:val="tx1"/>
            </w14:solidFill>
          </w14:textFill>
        </w:rPr>
      </w:pP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课程名称</w:t>
            </w:r>
          </w:p>
        </w:tc>
        <w:tc>
          <w:tcPr>
            <w:tcW w:w="2174" w:type="dxa"/>
          </w:tcPr>
          <w:p>
            <w:pPr>
              <w:spacing w:before="100" w:beforeAutospacing="1" w:after="100" w:afterAutospacing="1"/>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导游业务</w:t>
            </w:r>
          </w:p>
        </w:tc>
        <w:tc>
          <w:tcPr>
            <w:tcW w:w="19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课程代码</w:t>
            </w:r>
          </w:p>
        </w:tc>
        <w:tc>
          <w:tcPr>
            <w:tcW w:w="20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22080011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学时</w:t>
            </w:r>
          </w:p>
        </w:tc>
        <w:tc>
          <w:tcPr>
            <w:tcW w:w="2174" w:type="dxa"/>
          </w:tcPr>
          <w:p>
            <w:pPr>
              <w:adjustRightInd w:val="0"/>
              <w:snapToGrid w:val="0"/>
              <w:spacing w:line="240" w:lineRule="atLeas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理论： 40</w:t>
            </w:r>
          </w:p>
          <w:p>
            <w:pPr>
              <w:adjustRightInd w:val="0"/>
              <w:snapToGrid w:val="0"/>
              <w:spacing w:line="240" w:lineRule="atLeas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实践： 40</w:t>
            </w:r>
          </w:p>
        </w:tc>
        <w:tc>
          <w:tcPr>
            <w:tcW w:w="19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学分</w:t>
            </w:r>
          </w:p>
        </w:tc>
        <w:tc>
          <w:tcPr>
            <w:tcW w:w="2074" w:type="dxa"/>
          </w:tcPr>
          <w:p>
            <w:pPr>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学习目标</w:t>
            </w:r>
          </w:p>
        </w:tc>
        <w:tc>
          <w:tcPr>
            <w:tcW w:w="6222" w:type="dxa"/>
            <w:gridSpan w:val="3"/>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1.专业能力目标：收集、整理、撰写导游词的能力；独立完成带团的能力；熟练运用的导游讲解技巧的能力；处理独立带团中突发事件的能力。</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2.方法能力目标：培养学生独立学习的能力，提高学生的自学能力和创新能力；培养学生分析问题、解决问题的能力。</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3.社会能力目标：细心、周密、热情的服务意识，团结、协作、宽容的合作意识，灵活、克制、诚信的职业意识。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学习内容</w:t>
            </w:r>
          </w:p>
        </w:tc>
        <w:tc>
          <w:tcPr>
            <w:tcW w:w="2174" w:type="dxa"/>
          </w:tcPr>
          <w:p>
            <w:pPr>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内容（项目）名称</w:t>
            </w:r>
          </w:p>
        </w:tc>
        <w:tc>
          <w:tcPr>
            <w:tcW w:w="4048" w:type="dxa"/>
            <w:gridSpan w:val="2"/>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导游规范服务能力</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1.团队导游服务</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2.散客导游服务</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3.带团技能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导游讲解能力</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1.导游语言应用技能</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2.导游讲解技能</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3.语言组织能力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导游特殊问题的处理与应变能力</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1.游客个别要求处理</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 导游服务中问题和事故的预防与处理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现场导游讲解</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1.语言组织能力</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2.现场应变能力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教学方法设计</w:t>
            </w:r>
          </w:p>
        </w:tc>
        <w:tc>
          <w:tcPr>
            <w:tcW w:w="6222" w:type="dxa"/>
            <w:gridSpan w:val="3"/>
          </w:tcPr>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p>
          <w:p>
            <w:pPr>
              <w:pStyle w:val="22"/>
              <w:spacing w:line="440" w:lineRule="exact"/>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主要采用情景模拟、景点模拟讲解、小组+教师点评、演示等教学法。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教学条件</w:t>
            </w:r>
          </w:p>
        </w:tc>
        <w:tc>
          <w:tcPr>
            <w:tcW w:w="6222" w:type="dxa"/>
            <w:gridSpan w:val="3"/>
          </w:tcPr>
          <w:p>
            <w:pPr>
              <w:pStyle w:val="21"/>
              <w:adjustRightInd w:val="0"/>
              <w:snapToGrid w:val="0"/>
              <w:spacing w:line="440" w:lineRule="exact"/>
              <w:ind w:left="357"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1.教学媒体：多媒体。</w:t>
            </w:r>
          </w:p>
          <w:p>
            <w:pPr>
              <w:pStyle w:val="21"/>
              <w:adjustRightInd w:val="0"/>
              <w:snapToGrid w:val="0"/>
              <w:spacing w:line="440" w:lineRule="exact"/>
              <w:ind w:left="357"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2.教学场景：以学生为主体进行景点模拟讲解。</w:t>
            </w:r>
          </w:p>
          <w:p>
            <w:pPr>
              <w:pStyle w:val="21"/>
              <w:adjustRightInd w:val="0"/>
              <w:snapToGrid w:val="0"/>
              <w:spacing w:line="440" w:lineRule="exact"/>
              <w:ind w:left="357"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3.工具设备：旅游景点视频、景点资料（导游词）。</w:t>
            </w:r>
          </w:p>
          <w:p>
            <w:pPr>
              <w:pStyle w:val="21"/>
              <w:adjustRightInd w:val="0"/>
              <w:snapToGrid w:val="0"/>
              <w:spacing w:line="440" w:lineRule="exact"/>
              <w:ind w:left="357"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4.教师配备：具备旅游管理专业知识，具备导游证及导游工作经历的专业教师，能指导学生进行景点的模拟讲解。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考核方式与标准</w:t>
            </w:r>
          </w:p>
        </w:tc>
        <w:tc>
          <w:tcPr>
            <w:tcW w:w="6222" w:type="dxa"/>
            <w:gridSpan w:val="3"/>
          </w:tcPr>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学生的导游服务能力和导游综合知识运用能力，做到课堂讲授内容与行业要求接轨，突出实用性、综合性、岗位性、技能性；考核学生口头表达和导游规范服务能力；从而加强学生人文素质培养，实践技能素质及心理健康教育。</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一、实践考核方法</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（一）现场考试一科（100分），具体要求如下：</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1、模拟景点或概况讲解（50%）</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2、知识问答（30%）</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3、语言与仪态（20%）</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二、考核时间及评分标准</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（一）考核时间</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1、模拟景点或概况讲解：12分钟内，</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2、知识问答：8分钟内</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（二）评分标准</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1、模拟景点或概况讲解（50分），</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2、知识问答（30分）</w:t>
            </w:r>
          </w:p>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3、语言与仪态（20分）</w:t>
            </w:r>
          </w:p>
        </w:tc>
      </w:tr>
    </w:tbl>
    <w:p>
      <w:pPr>
        <w:pStyle w:val="2"/>
        <w:spacing w:after="0" w:line="440" w:lineRule="exact"/>
        <w:ind w:firstLine="0" w:firstLineChars="0"/>
        <w:rPr>
          <w:rFonts w:hint="eastAsia" w:ascii="宋体" w:hAnsi="宋体" w:eastAsia="宋体" w:cs="宋体"/>
          <w:color w:val="000000" w:themeColor="text1"/>
          <w:sz w:val="24"/>
          <w:szCs w:val="24"/>
          <w14:textFill>
            <w14:solidFill>
              <w14:schemeClr w14:val="tx1"/>
            </w14:solidFill>
          </w14:textFill>
        </w:rPr>
      </w:pPr>
    </w:p>
    <w:p>
      <w:pPr>
        <w:pStyle w:val="2"/>
        <w:spacing w:after="0" w:line="440" w:lineRule="exact"/>
        <w:ind w:firstLine="0" w:firstLineChars="0"/>
        <w:rPr>
          <w:rFonts w:hint="eastAsia" w:ascii="宋体" w:hAnsi="宋体" w:eastAsia="宋体" w:cs="宋体"/>
          <w:color w:val="000000" w:themeColor="text1"/>
          <w:sz w:val="24"/>
          <w:szCs w:val="24"/>
          <w14:textFill>
            <w14:solidFill>
              <w14:schemeClr w14:val="tx1"/>
            </w14:solidFill>
          </w14:textFill>
        </w:rPr>
      </w:pP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课程名称</w:t>
            </w:r>
          </w:p>
        </w:tc>
        <w:tc>
          <w:tcPr>
            <w:tcW w:w="2174" w:type="dxa"/>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前厅与客房服务</w:t>
            </w:r>
          </w:p>
        </w:tc>
        <w:tc>
          <w:tcPr>
            <w:tcW w:w="1974" w:type="dxa"/>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课程代码</w:t>
            </w:r>
          </w:p>
        </w:tc>
        <w:tc>
          <w:tcPr>
            <w:tcW w:w="2074" w:type="dxa"/>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22080014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学时</w:t>
            </w:r>
          </w:p>
        </w:tc>
        <w:tc>
          <w:tcPr>
            <w:tcW w:w="2174" w:type="dxa"/>
          </w:tcPr>
          <w:p>
            <w:pPr>
              <w:adjustRightInd w:val="0"/>
              <w:snapToGrid w:val="0"/>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理论：20</w:t>
            </w:r>
          </w:p>
          <w:p>
            <w:pPr>
              <w:adjustRightInd w:val="0"/>
              <w:snapToGrid w:val="0"/>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实践：60</w:t>
            </w:r>
          </w:p>
        </w:tc>
        <w:tc>
          <w:tcPr>
            <w:tcW w:w="1974" w:type="dxa"/>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学分</w:t>
            </w:r>
          </w:p>
        </w:tc>
        <w:tc>
          <w:tcPr>
            <w:tcW w:w="2074" w:type="dxa"/>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学习目标</w:t>
            </w:r>
          </w:p>
        </w:tc>
        <w:tc>
          <w:tcPr>
            <w:tcW w:w="6222" w:type="dxa"/>
            <w:gridSpan w:val="3"/>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1.专业能力目标：熟练的前台接待业务、收银业务、前厅礼宾服务；熟练的客房清洁服务；</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2.方法能力目标：熟练的操作技能，掌握前台接待、收银、客房清洁的技巧。</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3.社会能力目标：掌握与人沟通的技巧；对客服务技巧。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学习内容</w:t>
            </w:r>
          </w:p>
        </w:tc>
        <w:tc>
          <w:tcPr>
            <w:tcW w:w="2174" w:type="dxa"/>
          </w:tcPr>
          <w:p>
            <w:pPr>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内容（项目）名称</w:t>
            </w:r>
          </w:p>
        </w:tc>
        <w:tc>
          <w:tcPr>
            <w:tcW w:w="4048" w:type="dxa"/>
            <w:gridSpan w:val="2"/>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前台接待</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1.客房预定</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2.介绍客房</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3.登记入住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前台收银</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1.押金的收取</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2.退房结账</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3.客房日报表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前厅礼宾</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1.门迎服务</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2.行李进出</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3.行李寄存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p>
        </w:tc>
        <w:tc>
          <w:tcPr>
            <w:tcW w:w="21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客房服务</w:t>
            </w:r>
          </w:p>
        </w:tc>
        <w:tc>
          <w:tcPr>
            <w:tcW w:w="4048" w:type="dxa"/>
            <w:gridSpan w:val="2"/>
          </w:tcPr>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1.走客房的清扫</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2.空房的清洁</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3.住客房的清洁</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4.洗衣服务</w:t>
            </w:r>
          </w:p>
          <w:p>
            <w:pPr>
              <w:pStyle w:val="22"/>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5.夜床服务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教学方法设计</w:t>
            </w:r>
          </w:p>
        </w:tc>
        <w:tc>
          <w:tcPr>
            <w:tcW w:w="6222" w:type="dxa"/>
            <w:gridSpan w:val="3"/>
          </w:tcPr>
          <w:p>
            <w:pPr>
              <w:spacing w:line="440"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运用讲授理论及操作步骤、演示法，教师示范、学生实操等方法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教学条件</w:t>
            </w:r>
          </w:p>
        </w:tc>
        <w:tc>
          <w:tcPr>
            <w:tcW w:w="6222" w:type="dxa"/>
            <w:gridSpan w:val="3"/>
          </w:tcPr>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1.教学媒体：多媒体教室、实训设备齐全的实训室。</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2.教学场景：情景模拟前厅服务、客服服务实训。</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3.工具设备：有中、西式铺床全套用具，包括床、床单、枕头、枕套、被、被套等床具设备齐全的实训室。</w:t>
            </w:r>
          </w:p>
          <w:p>
            <w:pPr>
              <w:spacing w:line="440" w:lineRule="exact"/>
              <w:ind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4.教师配备：具有旅游管理专业知识背景，以及掌握前厅服务于客服服务的专业知识及专业技能，能指导学生进行前厅与客服服务实训。</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spacing w:line="440" w:lineRule="exact"/>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考核方式与标准</w:t>
            </w:r>
          </w:p>
        </w:tc>
        <w:tc>
          <w:tcPr>
            <w:tcW w:w="6222" w:type="dxa"/>
            <w:gridSpan w:val="3"/>
          </w:tcPr>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考核学生的实际操作能力，做到课堂讲授内容与行业要求接轨，突出实用性、综合性、岗位性、技能性；考核学生酒店服务规范能力；从而加强学生人文素质培养，实践技能素质及心理健康教育。</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一、实践考核方法</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（一）现场操作（100分），具体要求如下：</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1、模拟迎客服务（20%）</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2、模拟前台服务（40%）</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3、模拟客房铺床等服务（40%）</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二、考核时间及评分标准</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（一）考核时间</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1、入住登记：3分钟内</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2、结账收银：3分钟内</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3、客房清洁：15分钟内</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（二）评分标准</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1、现场操作（50分），</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2、完成时间（30分）</w:t>
            </w:r>
          </w:p>
          <w:p>
            <w:pPr>
              <w:pStyle w:val="21"/>
              <w:adjustRightInd w:val="0"/>
              <w:snapToGrid w:val="0"/>
              <w:spacing w:line="440" w:lineRule="exact"/>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3、语言与仪态（20分）</w:t>
            </w:r>
          </w:p>
        </w:tc>
      </w:tr>
    </w:tbl>
    <w:p>
      <w:pPr>
        <w:pStyle w:val="2"/>
        <w:spacing w:after="0" w:line="440" w:lineRule="exact"/>
        <w:ind w:firstLine="0" w:firstLineChars="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（三）课程体系框架图</w:t>
      </w:r>
    </w:p>
    <w:p>
      <w:pPr>
        <w:pStyle w:val="2"/>
        <w:ind w:firstLine="28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332730" cy="1901825"/>
            <wp:effectExtent l="0" t="0" r="127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332730" cy="1901825"/>
                    </a:xfrm>
                    <a:prstGeom prst="rect">
                      <a:avLst/>
                    </a:prstGeom>
                    <a:noFill/>
                    <a:ln>
                      <a:noFill/>
                    </a:ln>
                  </pic:spPr>
                </pic:pic>
              </a:graphicData>
            </a:graphic>
          </wp:inline>
        </w:drawing>
      </w:r>
    </w:p>
    <w:p>
      <w:pPr>
        <w:pStyle w:val="2"/>
        <w:numPr>
          <w:ilvl w:val="0"/>
          <w:numId w:val="18"/>
        </w:numPr>
        <w:spacing w:after="0" w:line="440" w:lineRule="exact"/>
        <w:ind w:firstLine="0" w:firstLineChars="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教学进度总体安排</w:t>
      </w:r>
    </w:p>
    <w:p>
      <w:pPr>
        <w:pStyle w:val="2"/>
        <w:numPr>
          <w:ilvl w:val="0"/>
          <w:numId w:val="19"/>
        </w:numPr>
        <w:spacing w:after="0" w:line="440" w:lineRule="exact"/>
        <w:ind w:firstLine="640" w:firstLineChars="20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教育教学学时学分构成</w:t>
      </w:r>
    </w:p>
    <w:p>
      <w:pPr>
        <w:pStyle w:val="2"/>
        <w:numPr>
          <w:ilvl w:val="0"/>
          <w:numId w:val="20"/>
        </w:numPr>
        <w:spacing w:after="0" w:line="440" w:lineRule="exac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教学学时与学分分配</w:t>
      </w:r>
    </w:p>
    <w:tbl>
      <w:tblPr>
        <w:tblStyle w:val="16"/>
        <w:tblpPr w:leftFromText="180" w:rightFromText="180" w:vertAnchor="text" w:horzAnchor="page" w:tblpX="1792" w:tblpY="383"/>
        <w:tblOverlap w:val="never"/>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996"/>
        <w:gridCol w:w="1043"/>
        <w:gridCol w:w="1043"/>
        <w:gridCol w:w="1043"/>
        <w:gridCol w:w="1043"/>
        <w:gridCol w:w="1043"/>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gridSpan w:val="2"/>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课程</w:t>
            </w:r>
          </w:p>
        </w:tc>
        <w:tc>
          <w:tcPr>
            <w:tcW w:w="6258" w:type="dxa"/>
            <w:gridSpan w:val="6"/>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学时</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学分数分配及比例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gridSpan w:val="2"/>
            <w:vMerge w:val="restart"/>
            <w:tcBorders>
              <w:top w:val="single" w:color="auto" w:sz="4" w:space="0"/>
              <w:left w:val="single" w:color="auto" w:sz="4" w:space="0"/>
              <w:bottom w:val="single" w:color="auto" w:sz="4" w:space="0"/>
              <w:right w:val="single" w:color="auto" w:sz="4" w:space="0"/>
            </w:tcBorders>
          </w:tcPr>
          <w:p>
            <w:pPr>
              <w:ind w:right="240" w:firstLine="0"/>
              <w:jc w:val="right"/>
              <w:rPr>
                <w:color w:val="000000" w:themeColor="text1"/>
                <w:sz w:val="24"/>
                <w:szCs w:val="24"/>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-52705</wp:posOffset>
                      </wp:positionH>
                      <wp:positionV relativeFrom="paragraph">
                        <wp:posOffset>12700</wp:posOffset>
                      </wp:positionV>
                      <wp:extent cx="1263650" cy="774700"/>
                      <wp:effectExtent l="2540" t="3810" r="3810" b="8890"/>
                      <wp:wrapNone/>
                      <wp:docPr id="4" name="直接连接符 4"/>
                      <wp:cNvGraphicFramePr/>
                      <a:graphic xmlns:a="http://schemas.openxmlformats.org/drawingml/2006/main">
                        <a:graphicData uri="http://schemas.microsoft.com/office/word/2010/wordprocessingShape">
                          <wps:wsp>
                            <wps:cNvCnPr/>
                            <wps:spPr>
                              <a:xfrm>
                                <a:off x="1084580" y="7560945"/>
                                <a:ext cx="1263650" cy="774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15pt;margin-top:1pt;height:61pt;width:99.5pt;z-index:251660288;mso-width-relative:page;mso-height-relative:page;" filled="f" stroked="t" coordsize="21600,21600" o:gfxdata="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U4utdYAAAAIAQAADwAAAAAAAAAB&#10;ACAAAAAiAAAAZHJzL2Rvd25yZXYueG1sUEsBAhQAFAAAAAgAh07iQB8c72PZAQAAdAMAAA4AAAAA&#10;AAAAAQAgAAAAJQEAAGRycy9lMm9Eb2MueG1sUEsFBgAAAAAGAAYAWQEAAHAFAAAAAA==&#10;">
                      <v:fill on="f" focussize="0,0"/>
                      <v:stroke weight="0.5pt" color="#000000 [3200]" miterlimit="8" joinstyle="miter"/>
                      <v:imagedata o:title=""/>
                      <o:lock v:ext="edit" aspectratio="f"/>
                    </v:line>
                  </w:pict>
                </mc:Fallback>
              </mc:AlternateContent>
            </w:r>
            <w:r>
              <w:rPr>
                <w:rFonts w:hint="eastAsia"/>
                <w:color w:val="000000" w:themeColor="text1"/>
                <w:sz w:val="24"/>
                <w:szCs w:val="24"/>
                <w14:textFill>
                  <w14:solidFill>
                    <w14:schemeClr w14:val="tx1"/>
                  </w14:solidFill>
                </w14:textFill>
              </w:rPr>
              <w:t>类型</w:t>
            </w:r>
          </w:p>
          <w:p>
            <w:pPr>
              <w:ind w:firstLine="240" w:firstLineChars="1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性质</w:t>
            </w:r>
          </w:p>
        </w:tc>
        <w:tc>
          <w:tcPr>
            <w:tcW w:w="3129" w:type="dxa"/>
            <w:gridSpan w:val="3"/>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学时</w:t>
            </w:r>
          </w:p>
        </w:tc>
        <w:tc>
          <w:tcPr>
            <w:tcW w:w="3129" w:type="dxa"/>
            <w:gridSpan w:val="3"/>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gridSpan w:val="2"/>
            <w:vMerge w:val="continue"/>
            <w:tcBorders>
              <w:top w:val="single" w:color="auto" w:sz="4" w:space="0"/>
              <w:left w:val="single" w:color="auto" w:sz="4" w:space="0"/>
              <w:bottom w:val="single" w:color="auto" w:sz="4" w:space="0"/>
              <w:right w:val="single" w:color="auto" w:sz="4" w:space="0"/>
            </w:tcBorders>
            <w:vAlign w:val="center"/>
          </w:tcPr>
          <w:p>
            <w:pPr>
              <w:ind w:firstLine="0"/>
              <w:jc w:val="left"/>
              <w:rPr>
                <w:color w:val="000000" w:themeColor="text1"/>
                <w:sz w:val="24"/>
                <w:szCs w:val="24"/>
                <w14:textFill>
                  <w14:solidFill>
                    <w14:schemeClr w14:val="tx1"/>
                  </w14:solidFill>
                </w14:textFill>
              </w:rPr>
            </w:pPr>
          </w:p>
        </w:tc>
        <w:tc>
          <w:tcPr>
            <w:tcW w:w="1043" w:type="dxa"/>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总学时</w:t>
            </w:r>
          </w:p>
        </w:tc>
        <w:tc>
          <w:tcPr>
            <w:tcW w:w="1043" w:type="dxa"/>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理论</w:t>
            </w:r>
          </w:p>
        </w:tc>
        <w:tc>
          <w:tcPr>
            <w:tcW w:w="1043" w:type="dxa"/>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实践</w:t>
            </w:r>
          </w:p>
        </w:tc>
        <w:tc>
          <w:tcPr>
            <w:tcW w:w="1043" w:type="dxa"/>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总学分</w:t>
            </w:r>
          </w:p>
        </w:tc>
        <w:tc>
          <w:tcPr>
            <w:tcW w:w="1043" w:type="dxa"/>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理论</w:t>
            </w:r>
          </w:p>
        </w:tc>
        <w:tc>
          <w:tcPr>
            <w:tcW w:w="1043" w:type="dxa"/>
            <w:tcBorders>
              <w:top w:val="single" w:color="auto" w:sz="4" w:space="0"/>
              <w:left w:val="single" w:color="auto" w:sz="4" w:space="0"/>
              <w:bottom w:val="single" w:color="auto" w:sz="4" w:space="0"/>
              <w:right w:val="single" w:color="auto" w:sz="4" w:space="0"/>
            </w:tcBorders>
            <w:vAlign w:val="center"/>
          </w:tcPr>
          <w:p>
            <w:pPr>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必修课</w:t>
            </w: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思想政治课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158</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124</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34</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8</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6</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continue"/>
            <w:tcBorders>
              <w:top w:val="single" w:color="auto" w:sz="4" w:space="0"/>
              <w:left w:val="single" w:color="auto" w:sz="4" w:space="0"/>
              <w:bottom w:val="single" w:color="auto" w:sz="4" w:space="0"/>
              <w:right w:val="single" w:color="auto" w:sz="4" w:space="0"/>
            </w:tcBorders>
            <w:vAlign w:val="center"/>
          </w:tcPr>
          <w:p>
            <w:pPr>
              <w:ind w:firstLine="0"/>
              <w:jc w:val="left"/>
              <w:rPr>
                <w:color w:val="000000" w:themeColor="text1"/>
                <w:sz w:val="24"/>
                <w:szCs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公共素质课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424</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354</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70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22</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19</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continue"/>
            <w:tcBorders>
              <w:top w:val="single" w:color="auto" w:sz="4" w:space="0"/>
              <w:left w:val="single" w:color="auto" w:sz="4" w:space="0"/>
              <w:bottom w:val="single" w:color="auto" w:sz="4" w:space="0"/>
              <w:right w:val="single" w:color="auto" w:sz="4" w:space="0"/>
            </w:tcBorders>
            <w:vAlign w:val="center"/>
          </w:tcPr>
          <w:p>
            <w:pPr>
              <w:ind w:firstLine="0"/>
              <w:jc w:val="left"/>
              <w:rPr>
                <w:color w:val="000000" w:themeColor="text1"/>
                <w:sz w:val="24"/>
                <w:szCs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专业</w:t>
            </w:r>
            <w:r>
              <w:rPr>
                <w:rFonts w:hint="eastAsia"/>
                <w:color w:val="000000" w:themeColor="text1"/>
                <w:sz w:val="24"/>
                <w:szCs w:val="24"/>
                <w:lang w:eastAsia="zh-CN"/>
                <w14:textFill>
                  <w14:solidFill>
                    <w14:schemeClr w14:val="tx1"/>
                  </w14:solidFill>
                </w14:textFill>
              </w:rPr>
              <w:t>基础</w:t>
            </w:r>
            <w:r>
              <w:rPr>
                <w:rFonts w:hint="eastAsia"/>
                <w:color w:val="000000" w:themeColor="text1"/>
                <w:sz w:val="24"/>
                <w:szCs w:val="24"/>
                <w14:textFill>
                  <w14:solidFill>
                    <w14:schemeClr w14:val="tx1"/>
                  </w14:solidFill>
                </w14:textFill>
              </w:rPr>
              <w:t>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360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200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160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22.5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12.5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continue"/>
            <w:tcBorders>
              <w:top w:val="single" w:color="auto" w:sz="4" w:space="0"/>
              <w:left w:val="single" w:color="auto" w:sz="4" w:space="0"/>
              <w:bottom w:val="single" w:color="auto" w:sz="4" w:space="0"/>
              <w:right w:val="single" w:color="auto" w:sz="4" w:space="0"/>
            </w:tcBorders>
            <w:vAlign w:val="center"/>
          </w:tcPr>
          <w:p>
            <w:pPr>
              <w:ind w:firstLine="0"/>
              <w:jc w:val="left"/>
              <w:rPr>
                <w:color w:val="000000" w:themeColor="text1"/>
                <w:sz w:val="24"/>
                <w:szCs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专业核心课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440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400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40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eastAsia" w:ascii="新宋体" w:hAnsi="新宋体" w:eastAsia="新宋体" w:cs="新宋体"/>
                <w:color w:val="000000" w:themeColor="text1"/>
                <w:sz w:val="24"/>
                <w:szCs w:val="24"/>
                <w:highlight w:val="none"/>
                <w:lang w:eastAsia="zh-CN"/>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27.5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eastAsia" w:ascii="新宋体" w:hAnsi="新宋体" w:eastAsia="新宋体" w:cs="新宋体"/>
                <w:color w:val="000000" w:themeColor="text1"/>
                <w:sz w:val="24"/>
                <w:szCs w:val="24"/>
                <w:highlight w:val="none"/>
                <w:lang w:eastAsia="zh-CN"/>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25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continue"/>
            <w:tcBorders>
              <w:top w:val="single" w:color="auto" w:sz="4" w:space="0"/>
              <w:left w:val="single" w:color="auto" w:sz="4" w:space="0"/>
              <w:bottom w:val="single" w:color="auto" w:sz="4" w:space="0"/>
              <w:right w:val="single" w:color="auto" w:sz="4" w:space="0"/>
            </w:tcBorders>
            <w:vAlign w:val="center"/>
          </w:tcPr>
          <w:p>
            <w:pPr>
              <w:ind w:firstLine="0"/>
              <w:jc w:val="left"/>
              <w:rPr>
                <w:color w:val="000000" w:themeColor="text1"/>
                <w:sz w:val="24"/>
                <w:szCs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专业</w:t>
            </w:r>
            <w:r>
              <w:rPr>
                <w:rFonts w:hint="eastAsia"/>
                <w:color w:val="000000" w:themeColor="text1"/>
                <w:sz w:val="24"/>
                <w:szCs w:val="24"/>
                <w:lang w:eastAsia="zh-CN"/>
                <w14:textFill>
                  <w14:solidFill>
                    <w14:schemeClr w14:val="tx1"/>
                  </w14:solidFill>
                </w14:textFill>
              </w:rPr>
              <w:t>方向</w:t>
            </w:r>
            <w:r>
              <w:rPr>
                <w:rFonts w:hint="eastAsia"/>
                <w:color w:val="000000" w:themeColor="text1"/>
                <w:sz w:val="24"/>
                <w:szCs w:val="24"/>
                <w14:textFill>
                  <w14:solidFill>
                    <w14:schemeClr w14:val="tx1"/>
                  </w14:solidFill>
                </w14:textFill>
              </w:rPr>
              <w:t>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400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150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250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25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9</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选修课</w:t>
            </w: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公共素质课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120</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68</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none"/>
                <w:lang w:val="en-US" w:eastAsia="zh-CN"/>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52</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hint="eastAsia" w:ascii="新宋体" w:hAnsi="新宋体" w:eastAsia="新宋体" w:cs="新宋体"/>
                <w:color w:val="000000" w:themeColor="text1"/>
                <w:sz w:val="24"/>
                <w:szCs w:val="24"/>
                <w:highlight w:val="none"/>
                <w:lang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6</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none"/>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3</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hint="eastAsia" w:ascii="新宋体" w:hAnsi="新宋体" w:eastAsia="新宋体" w:cs="新宋体"/>
                <w:color w:val="000000" w:themeColor="text1"/>
                <w:sz w:val="24"/>
                <w:szCs w:val="24"/>
                <w:highlight w:val="none"/>
                <w:lang w:eastAsia="zh-CN"/>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Merge w:val="continue"/>
            <w:tcBorders>
              <w:top w:val="single" w:color="auto" w:sz="4" w:space="0"/>
              <w:left w:val="single" w:color="auto" w:sz="4" w:space="0"/>
              <w:bottom w:val="single" w:color="auto" w:sz="4" w:space="0"/>
              <w:right w:val="single" w:color="auto" w:sz="4" w:space="0"/>
            </w:tcBorders>
            <w:vAlign w:val="center"/>
          </w:tcPr>
          <w:p>
            <w:pPr>
              <w:ind w:firstLine="0"/>
              <w:jc w:val="left"/>
              <w:rPr>
                <w:color w:val="000000" w:themeColor="text1"/>
                <w:sz w:val="24"/>
                <w:szCs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专业</w:t>
            </w:r>
            <w:r>
              <w:rPr>
                <w:rFonts w:hint="eastAsia"/>
                <w:color w:val="000000" w:themeColor="text1"/>
                <w:sz w:val="24"/>
                <w:szCs w:val="24"/>
                <w:lang w:eastAsia="zh-CN"/>
                <w14:textFill>
                  <w14:solidFill>
                    <w14:schemeClr w14:val="tx1"/>
                  </w14:solidFill>
                </w14:textFill>
              </w:rPr>
              <w:t>选修</w:t>
            </w:r>
            <w:r>
              <w:rPr>
                <w:rFonts w:hint="eastAsia"/>
                <w:color w:val="000000" w:themeColor="text1"/>
                <w:sz w:val="24"/>
                <w:szCs w:val="24"/>
                <w14:textFill>
                  <w14:solidFill>
                    <w14:schemeClr w14:val="tx1"/>
                  </w14:solidFill>
                </w14:textFill>
              </w:rPr>
              <w:t>课</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yellow"/>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14</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yellow"/>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合计</w:t>
            </w:r>
          </w:p>
        </w:tc>
        <w:tc>
          <w:tcPr>
            <w:tcW w:w="99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240" w:lineRule="atLeast"/>
              <w:ind w:firstLine="0"/>
              <w:jc w:val="center"/>
              <w:rPr>
                <w:color w:val="000000" w:themeColor="text1"/>
                <w:sz w:val="24"/>
                <w:szCs w:val="24"/>
                <w14:textFill>
                  <w14:solidFill>
                    <w14:schemeClr w14:val="tx1"/>
                  </w14:solidFill>
                </w14:textFill>
              </w:rPr>
            </w:pP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yellow"/>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1902</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1296</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606</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4"/>
                <w:szCs w:val="24"/>
                <w:highlight w:val="yellow"/>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125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default" w:ascii="新宋体" w:hAnsi="新宋体" w:eastAsia="新宋体" w:cs="新宋体"/>
                <w:color w:val="000000" w:themeColor="text1"/>
                <w:sz w:val="24"/>
                <w:szCs w:val="24"/>
                <w:highlight w:val="yellow"/>
                <w:lang w:val="en-US" w:eastAsia="zh-CN"/>
                <w14:textFill>
                  <w14:solidFill>
                    <w14:schemeClr w14:val="tx1"/>
                  </w14:solidFill>
                </w14:textFill>
              </w:rPr>
            </w:pP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74.5</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hint="eastAsia" w:ascii="新宋体" w:hAnsi="新宋体" w:eastAsia="新宋体" w:cs="新宋体"/>
                <w:color w:val="000000" w:themeColor="text1"/>
                <w:sz w:val="24"/>
                <w:szCs w:val="24"/>
                <w:highlight w:val="yellow"/>
                <w:lang w:eastAsia="zh-CN"/>
                <w14:textFill>
                  <w14:solidFill>
                    <w14:schemeClr w14:val="tx1"/>
                  </w14:solidFill>
                </w14:textFill>
              </w:rPr>
            </w:pPr>
            <w:r>
              <w:rPr>
                <w:rFonts w:hint="eastAsia" w:ascii="宋体" w:hAnsi="宋体" w:eastAsia="宋体" w:cs="宋体"/>
                <w:i w:val="0"/>
                <w:color w:val="000000"/>
                <w:kern w:val="0"/>
                <w:sz w:val="22"/>
                <w:szCs w:val="22"/>
                <w:highlight w:val="none"/>
                <w:u w:val="none"/>
                <w:lang w:val="en-US" w:eastAsia="zh-CN" w:bidi="ar"/>
              </w:rPr>
              <w:t>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firstLine="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百分比</w:t>
            </w:r>
          </w:p>
        </w:tc>
        <w:tc>
          <w:tcPr>
            <w:tcW w:w="996"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ind w:firstLine="0"/>
              <w:jc w:val="center"/>
              <w:rPr>
                <w:color w:val="000000" w:themeColor="text1"/>
                <w:sz w:val="24"/>
                <w:szCs w:val="24"/>
                <w14:textFill>
                  <w14:solidFill>
                    <w14:schemeClr w14:val="tx1"/>
                  </w14:solidFill>
                </w14:textFill>
              </w:rPr>
            </w:pP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1"/>
                <w:szCs w:val="21"/>
                <w:highlight w:val="yellow"/>
                <w14:textFill>
                  <w14:solidFill>
                    <w14:schemeClr w14:val="tx1"/>
                  </w14:solidFill>
                </w14:textFill>
              </w:rPr>
            </w:pPr>
            <w:r>
              <w:rPr>
                <w:rFonts w:hint="eastAsia" w:ascii="宋体" w:hAnsi="宋体" w:eastAsia="宋体" w:cs="宋体"/>
                <w:i w:val="0"/>
                <w:color w:val="000000"/>
                <w:kern w:val="0"/>
                <w:sz w:val="20"/>
                <w:szCs w:val="20"/>
                <w:highlight w:val="none"/>
                <w:u w:val="none"/>
                <w:lang w:val="en-US" w:eastAsia="zh-CN" w:bidi="ar"/>
              </w:rPr>
              <w:t>100%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1"/>
                <w:szCs w:val="21"/>
                <w:highlight w:val="yellow"/>
                <w14:textFill>
                  <w14:solidFill>
                    <w14:schemeClr w14:val="tx1"/>
                  </w14:solidFill>
                </w14:textFill>
              </w:rPr>
            </w:pPr>
            <w:r>
              <w:rPr>
                <w:rFonts w:hint="eastAsia" w:ascii="宋体" w:hAnsi="宋体" w:eastAsia="宋体" w:cs="宋体"/>
                <w:i w:val="0"/>
                <w:color w:val="000000"/>
                <w:kern w:val="0"/>
                <w:sz w:val="20"/>
                <w:szCs w:val="20"/>
                <w:highlight w:val="none"/>
                <w:u w:val="none"/>
                <w:lang w:val="en-US" w:eastAsia="zh-CN" w:bidi="ar"/>
              </w:rPr>
              <w:t>68.14%</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1"/>
                <w:szCs w:val="21"/>
                <w:highlight w:val="yellow"/>
                <w14:textFill>
                  <w14:solidFill>
                    <w14:schemeClr w14:val="tx1"/>
                  </w14:solidFill>
                </w14:textFill>
              </w:rPr>
            </w:pPr>
            <w:r>
              <w:rPr>
                <w:rFonts w:hint="eastAsia" w:ascii="宋体" w:hAnsi="宋体" w:eastAsia="宋体" w:cs="宋体"/>
                <w:i w:val="0"/>
                <w:color w:val="000000"/>
                <w:kern w:val="0"/>
                <w:sz w:val="20"/>
                <w:szCs w:val="20"/>
                <w:highlight w:val="none"/>
                <w:u w:val="none"/>
                <w:lang w:val="en-US" w:eastAsia="zh-CN" w:bidi="ar"/>
              </w:rPr>
              <w:t>31.86%</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1"/>
                <w:szCs w:val="21"/>
                <w:highlight w:val="yellow"/>
                <w14:textFill>
                  <w14:solidFill>
                    <w14:schemeClr w14:val="tx1"/>
                  </w14:solidFill>
                </w14:textFill>
              </w:rPr>
            </w:pPr>
            <w:r>
              <w:rPr>
                <w:rFonts w:hint="eastAsia" w:ascii="宋体" w:hAnsi="宋体" w:eastAsia="宋体" w:cs="宋体"/>
                <w:i w:val="0"/>
                <w:color w:val="000000"/>
                <w:kern w:val="0"/>
                <w:sz w:val="20"/>
                <w:szCs w:val="20"/>
                <w:highlight w:val="none"/>
                <w:u w:val="none"/>
                <w:lang w:val="en-US" w:eastAsia="zh-CN" w:bidi="ar"/>
              </w:rPr>
              <w:t>100%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1"/>
                <w:szCs w:val="21"/>
                <w:highlight w:val="yellow"/>
                <w14:textFill>
                  <w14:solidFill>
                    <w14:schemeClr w14:val="tx1"/>
                  </w14:solidFill>
                </w14:textFill>
              </w:rPr>
            </w:pPr>
            <w:r>
              <w:rPr>
                <w:rFonts w:hint="eastAsia" w:ascii="宋体" w:hAnsi="宋体" w:eastAsia="宋体" w:cs="宋体"/>
                <w:i w:val="0"/>
                <w:color w:val="000000"/>
                <w:kern w:val="0"/>
                <w:sz w:val="20"/>
                <w:szCs w:val="20"/>
                <w:highlight w:val="none"/>
                <w:u w:val="none"/>
                <w:lang w:val="en-US" w:eastAsia="zh-CN" w:bidi="ar"/>
              </w:rPr>
              <w:t>59.60%</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198" w:firstLineChars="0"/>
              <w:jc w:val="center"/>
              <w:textAlignment w:val="center"/>
              <w:rPr>
                <w:rFonts w:ascii="新宋体" w:hAnsi="新宋体" w:eastAsia="新宋体" w:cs="新宋体"/>
                <w:color w:val="000000" w:themeColor="text1"/>
                <w:sz w:val="21"/>
                <w:szCs w:val="21"/>
                <w:highlight w:val="yellow"/>
                <w14:textFill>
                  <w14:solidFill>
                    <w14:schemeClr w14:val="tx1"/>
                  </w14:solidFill>
                </w14:textFill>
              </w:rPr>
            </w:pPr>
            <w:r>
              <w:rPr>
                <w:rFonts w:hint="eastAsia" w:ascii="宋体" w:hAnsi="宋体" w:eastAsia="宋体" w:cs="宋体"/>
                <w:i w:val="0"/>
                <w:color w:val="000000"/>
                <w:kern w:val="0"/>
                <w:sz w:val="20"/>
                <w:szCs w:val="20"/>
                <w:highlight w:val="none"/>
                <w:u w:val="none"/>
                <w:lang w:val="en-US" w:eastAsia="zh-CN" w:bidi="ar"/>
              </w:rPr>
              <w:t>40.40%</w:t>
            </w:r>
          </w:p>
        </w:tc>
      </w:tr>
    </w:tbl>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（2）课外素质教育学时与学分</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75分。每周总课时不得超过20学时。一般为15～18学时为1个学分，总分为75分，其中学生必选项目共计学分为52.5学分，选修学分为7.5学分，达到60学分方可顺利毕业。</w:t>
      </w:r>
    </w:p>
    <w:p>
      <w:pPr>
        <w:spacing w:line="440" w:lineRule="exact"/>
        <w:ind w:firstLine="280" w:firstLineChars="1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（3）顶岗实习学时与学分</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顶岗实习学时和学分按照《贵州建设职业技术学院综合素质学分制管理办法》相关规定执行。顶岗实习学时和学分纳入专业人才培养管理工作中。根据学生在实习期间完成教学实习任务及毕业设计完成的情况，结合学生在实习期间的纪律表现和实习资料交回情况，分别由指导教师和班主任进行评分，总分50分。学生顶岗实习实习学分达到40学分方可顺利毕业。</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sectPr>
          <w:footerReference r:id="rId3" w:type="default"/>
          <w:pgSz w:w="11906" w:h="16838"/>
          <w:pgMar w:top="1440" w:right="1797" w:bottom="1440" w:left="1797" w:header="851" w:footer="992" w:gutter="0"/>
          <w:pgNumType w:fmt="numberInDash"/>
          <w:cols w:space="425" w:num="1"/>
          <w:docGrid w:type="linesAndChars" w:linePitch="312" w:charSpace="0"/>
        </w:sectPr>
      </w:pPr>
    </w:p>
    <w:p>
      <w:pPr>
        <w:pStyle w:val="2"/>
        <w:ind w:firstLine="321"/>
        <w:rPr>
          <w:rFonts w:ascii="宋体" w:hAnsi="宋体" w:eastAsia="宋体" w:cs="宋体"/>
          <w:color w:val="000000" w:themeColor="text1"/>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（二）教学进程表</w:t>
      </w:r>
    </w:p>
    <w:tbl>
      <w:tblPr>
        <w:tblStyle w:val="16"/>
        <w:tblW w:w="13940" w:type="dxa"/>
        <w:tblInd w:w="0" w:type="dxa"/>
        <w:tblLayout w:type="fixed"/>
        <w:tblCellMar>
          <w:top w:w="0" w:type="dxa"/>
          <w:left w:w="108" w:type="dxa"/>
          <w:bottom w:w="0" w:type="dxa"/>
          <w:right w:w="108" w:type="dxa"/>
        </w:tblCellMar>
      </w:tblPr>
      <w:tblGrid>
        <w:gridCol w:w="471"/>
        <w:gridCol w:w="736"/>
        <w:gridCol w:w="1130"/>
        <w:gridCol w:w="2238"/>
        <w:gridCol w:w="663"/>
        <w:gridCol w:w="761"/>
        <w:gridCol w:w="746"/>
        <w:gridCol w:w="759"/>
        <w:gridCol w:w="374"/>
        <w:gridCol w:w="604"/>
        <w:gridCol w:w="509"/>
        <w:gridCol w:w="506"/>
        <w:gridCol w:w="543"/>
        <w:gridCol w:w="543"/>
        <w:gridCol w:w="510"/>
        <w:gridCol w:w="485"/>
        <w:gridCol w:w="453"/>
        <w:gridCol w:w="695"/>
        <w:gridCol w:w="608"/>
        <w:gridCol w:w="606"/>
      </w:tblGrid>
      <w:tr>
        <w:tblPrEx>
          <w:tblCellMar>
            <w:top w:w="0" w:type="dxa"/>
            <w:left w:w="108" w:type="dxa"/>
            <w:bottom w:w="0" w:type="dxa"/>
            <w:right w:w="108" w:type="dxa"/>
          </w:tblCellMar>
        </w:tblPrEx>
        <w:trPr>
          <w:trHeight w:val="270" w:hRule="atLeast"/>
        </w:trPr>
        <w:tc>
          <w:tcPr>
            <w:tcW w:w="471"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课程性质</w:t>
            </w: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课</w:t>
            </w:r>
          </w:p>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程</w:t>
            </w:r>
          </w:p>
          <w:p>
            <w:pPr>
              <w:shd w:val="clear"/>
              <w:ind w:firstLine="0"/>
              <w:jc w:val="center"/>
              <w:rPr>
                <w:rFonts w:hint="eastAsia" w:ascii="等线" w:hAnsi="等线" w:eastAsia="等线" w:cs="宋体"/>
                <w:color w:val="000000"/>
                <w:kern w:val="0"/>
                <w:sz w:val="21"/>
                <w:szCs w:val="21"/>
                <w:highlight w:val="none"/>
                <w:lang w:val="en-US" w:eastAsia="zh-CN"/>
              </w:rPr>
            </w:pPr>
            <w:r>
              <w:rPr>
                <w:rFonts w:hint="eastAsia" w:ascii="等线" w:hAnsi="等线" w:eastAsia="等线" w:cs="宋体"/>
                <w:color w:val="000000"/>
                <w:kern w:val="0"/>
                <w:sz w:val="21"/>
                <w:szCs w:val="21"/>
                <w:highlight w:val="none"/>
                <w:lang w:val="en-US" w:eastAsia="zh-CN"/>
              </w:rPr>
              <w:t>地</w:t>
            </w:r>
          </w:p>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lang w:val="en-US" w:eastAsia="zh-CN"/>
              </w:rPr>
              <w:t>位</w:t>
            </w:r>
          </w:p>
        </w:tc>
        <w:tc>
          <w:tcPr>
            <w:tcW w:w="1130"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课</w:t>
            </w:r>
          </w:p>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程</w:t>
            </w:r>
          </w:p>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代</w:t>
            </w:r>
          </w:p>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码</w:t>
            </w:r>
          </w:p>
        </w:tc>
        <w:tc>
          <w:tcPr>
            <w:tcW w:w="2238"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课程名称</w:t>
            </w:r>
          </w:p>
        </w:tc>
        <w:tc>
          <w:tcPr>
            <w:tcW w:w="663"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总学分</w:t>
            </w:r>
          </w:p>
        </w:tc>
        <w:tc>
          <w:tcPr>
            <w:tcW w:w="761"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jc w:val="center"/>
              <w:rPr>
                <w:rFonts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总</w:t>
            </w:r>
          </w:p>
          <w:p>
            <w:pPr>
              <w:shd w:val="clear"/>
              <w:ind w:firstLine="0"/>
              <w:jc w:val="center"/>
              <w:rPr>
                <w:rFonts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学</w:t>
            </w:r>
          </w:p>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时</w:t>
            </w:r>
          </w:p>
        </w:tc>
        <w:tc>
          <w:tcPr>
            <w:tcW w:w="1879" w:type="dxa"/>
            <w:gridSpan w:val="3"/>
            <w:tcBorders>
              <w:top w:val="single" w:color="auto" w:sz="4" w:space="0"/>
              <w:left w:val="nil"/>
              <w:bottom w:val="single" w:color="auto" w:sz="4" w:space="0"/>
              <w:right w:val="single" w:color="000000"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学时</w:t>
            </w:r>
          </w:p>
        </w:tc>
        <w:tc>
          <w:tcPr>
            <w:tcW w:w="60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集中性实践</w:t>
            </w:r>
          </w:p>
        </w:tc>
        <w:tc>
          <w:tcPr>
            <w:tcW w:w="3096" w:type="dxa"/>
            <w:gridSpan w:val="6"/>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各学期周学时分配</w:t>
            </w: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开设学期及考核类型</w:t>
            </w:r>
          </w:p>
        </w:tc>
        <w:tc>
          <w:tcPr>
            <w:tcW w:w="1214" w:type="dxa"/>
            <w:gridSpan w:val="2"/>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课程性质</w:t>
            </w:r>
          </w:p>
        </w:tc>
      </w:tr>
      <w:tr>
        <w:tblPrEx>
          <w:tblCellMar>
            <w:top w:w="0" w:type="dxa"/>
            <w:left w:w="108" w:type="dxa"/>
            <w:bottom w:w="0" w:type="dxa"/>
            <w:right w:w="108" w:type="dxa"/>
          </w:tblCellMar>
        </w:tblPrEx>
        <w:trPr>
          <w:trHeight w:val="330" w:hRule="atLeast"/>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2238"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63"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1505" w:type="dxa"/>
            <w:gridSpan w:val="2"/>
            <w:tcBorders>
              <w:top w:val="single" w:color="auto" w:sz="4" w:space="0"/>
              <w:left w:val="nil"/>
              <w:bottom w:val="single" w:color="auto" w:sz="4" w:space="0"/>
              <w:right w:val="single" w:color="000000"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课内学时</w:t>
            </w:r>
          </w:p>
        </w:tc>
        <w:tc>
          <w:tcPr>
            <w:tcW w:w="374" w:type="dxa"/>
            <w:vMerge w:val="restart"/>
            <w:tcBorders>
              <w:top w:val="nil"/>
              <w:left w:val="single" w:color="auto" w:sz="4" w:space="0"/>
              <w:bottom w:val="single" w:color="auto" w:sz="4" w:space="0"/>
              <w:right w:val="single" w:color="auto" w:sz="4" w:space="0"/>
            </w:tcBorders>
            <w:noWrap w:val="0"/>
            <w:vAlign w:val="center"/>
          </w:tcPr>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课</w:t>
            </w:r>
          </w:p>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外</w:t>
            </w:r>
          </w:p>
          <w:p>
            <w:pPr>
              <w:shd w:val="clear"/>
              <w:ind w:firstLine="0"/>
              <w:jc w:val="center"/>
              <w:rPr>
                <w:rFonts w:hint="eastAsia" w:ascii="等线" w:hAnsi="等线" w:eastAsia="等线" w:cs="宋体"/>
                <w:color w:val="000000"/>
                <w:kern w:val="0"/>
                <w:sz w:val="21"/>
                <w:szCs w:val="21"/>
                <w:highlight w:val="none"/>
              </w:rPr>
            </w:pPr>
            <w:r>
              <w:rPr>
                <w:rFonts w:hint="eastAsia" w:ascii="等线" w:hAnsi="等线" w:eastAsia="等线" w:cs="宋体"/>
                <w:color w:val="000000"/>
                <w:kern w:val="0"/>
                <w:sz w:val="21"/>
                <w:szCs w:val="21"/>
                <w:highlight w:val="none"/>
              </w:rPr>
              <w:t>学</w:t>
            </w:r>
          </w:p>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时</w:t>
            </w:r>
          </w:p>
        </w:tc>
        <w:tc>
          <w:tcPr>
            <w:tcW w:w="604" w:type="dxa"/>
            <w:tcBorders>
              <w:top w:val="nil"/>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1015" w:type="dxa"/>
            <w:gridSpan w:val="2"/>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一</w:t>
            </w:r>
          </w:p>
        </w:tc>
        <w:tc>
          <w:tcPr>
            <w:tcW w:w="1086" w:type="dxa"/>
            <w:gridSpan w:val="2"/>
            <w:tcBorders>
              <w:top w:val="single" w:color="auto" w:sz="4" w:space="0"/>
              <w:left w:val="single" w:color="auto" w:sz="4" w:space="0"/>
              <w:bottom w:val="nil"/>
              <w:right w:val="single" w:color="000000"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二</w:t>
            </w:r>
          </w:p>
        </w:tc>
        <w:tc>
          <w:tcPr>
            <w:tcW w:w="995" w:type="dxa"/>
            <w:gridSpan w:val="2"/>
            <w:tcBorders>
              <w:top w:val="single" w:color="auto" w:sz="4" w:space="0"/>
              <w:left w:val="nil"/>
              <w:bottom w:val="nil"/>
              <w:right w:val="single" w:color="000000"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三</w:t>
            </w: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1214" w:type="dxa"/>
            <w:gridSpan w:val="2"/>
            <w:tcBorders>
              <w:top w:val="nil"/>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345" w:hRule="atLeast"/>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2238"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63"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4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理论</w:t>
            </w:r>
          </w:p>
        </w:tc>
        <w:tc>
          <w:tcPr>
            <w:tcW w:w="759"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实践</w:t>
            </w:r>
          </w:p>
        </w:tc>
        <w:tc>
          <w:tcPr>
            <w:tcW w:w="374"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0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50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1</w:t>
            </w:r>
          </w:p>
        </w:tc>
        <w:tc>
          <w:tcPr>
            <w:tcW w:w="50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2</w:t>
            </w: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3</w:t>
            </w: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4</w:t>
            </w:r>
          </w:p>
        </w:tc>
        <w:tc>
          <w:tcPr>
            <w:tcW w:w="51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5</w:t>
            </w:r>
          </w:p>
        </w:tc>
        <w:tc>
          <w:tcPr>
            <w:tcW w:w="48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6</w:t>
            </w:r>
          </w:p>
        </w:tc>
        <w:tc>
          <w:tcPr>
            <w:tcW w:w="453" w:type="dxa"/>
            <w:vMerge w:val="restart"/>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考试</w:t>
            </w:r>
          </w:p>
        </w:tc>
        <w:tc>
          <w:tcPr>
            <w:tcW w:w="695" w:type="dxa"/>
            <w:vMerge w:val="restart"/>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考查</w:t>
            </w:r>
          </w:p>
        </w:tc>
        <w:tc>
          <w:tcPr>
            <w:tcW w:w="608"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必修</w:t>
            </w:r>
          </w:p>
        </w:tc>
        <w:tc>
          <w:tcPr>
            <w:tcW w:w="60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选修</w:t>
            </w:r>
          </w:p>
        </w:tc>
      </w:tr>
      <w:tr>
        <w:tblPrEx>
          <w:tblCellMar>
            <w:top w:w="0" w:type="dxa"/>
            <w:left w:w="108" w:type="dxa"/>
            <w:bottom w:w="0" w:type="dxa"/>
            <w:right w:w="108" w:type="dxa"/>
          </w:tblCellMar>
        </w:tblPrEx>
        <w:trPr>
          <w:trHeight w:val="555" w:hRule="atLeast"/>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2238"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63"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4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759"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374" w:type="dxa"/>
            <w:vMerge w:val="continue"/>
            <w:tcBorders>
              <w:top w:val="single" w:color="auto" w:sz="4" w:space="0"/>
              <w:left w:val="single" w:color="auto" w:sz="4" w:space="0"/>
              <w:bottom w:val="single" w:color="000000"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0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50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lang w:val="en-US" w:eastAsia="zh-CN"/>
              </w:rPr>
              <w:t>20</w:t>
            </w:r>
            <w:r>
              <w:rPr>
                <w:rFonts w:hint="eastAsia" w:ascii="等线" w:hAnsi="等线" w:eastAsia="等线" w:cs="宋体"/>
                <w:color w:val="000000"/>
                <w:kern w:val="0"/>
                <w:sz w:val="21"/>
                <w:szCs w:val="21"/>
                <w:highlight w:val="none"/>
              </w:rPr>
              <w:t>周</w:t>
            </w:r>
          </w:p>
        </w:tc>
        <w:tc>
          <w:tcPr>
            <w:tcW w:w="50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20周</w:t>
            </w: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20周</w:t>
            </w: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20周</w:t>
            </w:r>
          </w:p>
        </w:tc>
        <w:tc>
          <w:tcPr>
            <w:tcW w:w="51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20周</w:t>
            </w:r>
          </w:p>
        </w:tc>
        <w:tc>
          <w:tcPr>
            <w:tcW w:w="48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color w:val="000000"/>
                <w:kern w:val="0"/>
                <w:sz w:val="21"/>
                <w:szCs w:val="21"/>
                <w:highlight w:val="none"/>
              </w:rPr>
              <w:t>20周</w:t>
            </w:r>
          </w:p>
        </w:tc>
        <w:tc>
          <w:tcPr>
            <w:tcW w:w="453" w:type="dxa"/>
            <w:vMerge w:val="continue"/>
            <w:tcBorders>
              <w:top w:val="single" w:color="auto" w:sz="4" w:space="0"/>
              <w:left w:val="single" w:color="auto" w:sz="4" w:space="0"/>
              <w:bottom w:val="single" w:color="000000"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95" w:type="dxa"/>
            <w:vMerge w:val="continue"/>
            <w:tcBorders>
              <w:top w:val="single" w:color="auto" w:sz="4" w:space="0"/>
              <w:left w:val="single" w:color="auto" w:sz="4" w:space="0"/>
              <w:bottom w:val="single" w:color="000000"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08"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c>
          <w:tcPr>
            <w:tcW w:w="60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left"/>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restart"/>
            <w:tcBorders>
              <w:top w:val="single" w:color="auto" w:sz="4" w:space="0"/>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eastAsia="zh-CN"/>
              </w:rPr>
              <w:t>公共基础课</w:t>
            </w: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公</w:t>
            </w:r>
          </w:p>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共</w:t>
            </w:r>
          </w:p>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核</w:t>
            </w:r>
          </w:p>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心</w:t>
            </w:r>
          </w:p>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课</w:t>
            </w:r>
          </w:p>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程</w:t>
            </w:r>
          </w:p>
        </w:tc>
        <w:tc>
          <w:tcPr>
            <w:tcW w:w="1130" w:type="dxa"/>
            <w:tcBorders>
              <w:top w:val="single" w:color="auto" w:sz="4" w:space="0"/>
              <w:left w:val="nil"/>
              <w:bottom w:val="nil"/>
              <w:right w:val="nil"/>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0061</w:t>
            </w:r>
          </w:p>
        </w:tc>
        <w:tc>
          <w:tcPr>
            <w:tcW w:w="22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ind w:firstLine="0" w:firstLineChars="0"/>
              <w:jc w:val="center"/>
              <w:textAlignment w:val="auto"/>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思想道德修养与法律基础</w:t>
            </w:r>
          </w:p>
        </w:tc>
        <w:tc>
          <w:tcPr>
            <w:tcW w:w="66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w:t>
            </w:r>
          </w:p>
        </w:tc>
        <w:tc>
          <w:tcPr>
            <w:tcW w:w="761"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54</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36</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12</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6</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0111　</w:t>
            </w:r>
          </w:p>
        </w:tc>
        <w:tc>
          <w:tcPr>
            <w:tcW w:w="2238" w:type="dxa"/>
            <w:tcBorders>
              <w:top w:val="nil"/>
              <w:left w:val="nil"/>
              <w:bottom w:val="single" w:color="auto" w:sz="4" w:space="0"/>
              <w:right w:val="single" w:color="auto" w:sz="4" w:space="0"/>
            </w:tcBorders>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ind w:firstLine="0" w:firstLineChars="0"/>
              <w:jc w:val="center"/>
              <w:textAlignment w:val="auto"/>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毛泽东思想和中国特色社会主义理论体系概论</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72</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60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12</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0101/0202/0303/0404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形势与政策</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32</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28</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1、2、3、4</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37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0271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心理健康</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36</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32</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18"/>
                <w:szCs w:val="18"/>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18"/>
                <w:szCs w:val="18"/>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0071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体育</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72</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8</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64</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1、2</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0221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军事理论</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36</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36</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397"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21001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军事训练</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2周</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公共</w:t>
            </w:r>
          </w:p>
          <w:p>
            <w:pPr>
              <w:shd w:val="clear"/>
              <w:ind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必修</w:t>
            </w:r>
          </w:p>
          <w:p>
            <w:pPr>
              <w:shd w:val="clear"/>
              <w:ind w:firstLine="0" w:firstLineChars="0"/>
              <w:jc w:val="both"/>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课</w:t>
            </w: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0291</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生态文明教育</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20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bottom"/>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527"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0091</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贵州省情</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20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18</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spacing w:line="360" w:lineRule="auto"/>
              <w:ind w:left="0" w:leftChars="0"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608" w:type="dxa"/>
            <w:tcBorders>
              <w:top w:val="nil"/>
              <w:left w:val="nil"/>
              <w:bottom w:val="single" w:color="auto" w:sz="4" w:space="0"/>
              <w:right w:val="single" w:color="auto" w:sz="4" w:space="0"/>
            </w:tcBorders>
            <w:noWrap w:val="0"/>
            <w:vAlign w:val="center"/>
          </w:tcPr>
          <w:p>
            <w:pPr>
              <w:shd w:val="clear"/>
              <w:spacing w:line="360" w:lineRule="auto"/>
              <w:ind w:left="0" w:leftChars="0" w:firstLine="0" w:firstLineChars="0"/>
              <w:jc w:val="center"/>
              <w:rPr>
                <w:rFonts w:ascii="Arial" w:hAnsi="Arial" w:eastAsia="等线" w:cs="Arial"/>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386"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jc w:val="center"/>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公</w:t>
            </w:r>
          </w:p>
          <w:p>
            <w:pPr>
              <w:shd w:val="clear"/>
              <w:ind w:firstLine="0"/>
              <w:jc w:val="center"/>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共</w:t>
            </w:r>
          </w:p>
          <w:p>
            <w:pPr>
              <w:shd w:val="clear"/>
              <w:ind w:firstLine="0"/>
              <w:jc w:val="center"/>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选</w:t>
            </w:r>
          </w:p>
          <w:p>
            <w:pPr>
              <w:shd w:val="clear"/>
              <w:ind w:firstLine="0"/>
              <w:jc w:val="center"/>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修</w:t>
            </w:r>
          </w:p>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课</w:t>
            </w: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0031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大学语文1</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95" w:type="dxa"/>
            <w:tcBorders>
              <w:top w:val="nil"/>
              <w:left w:val="nil"/>
              <w:bottom w:val="single" w:color="auto" w:sz="4" w:space="0"/>
              <w:right w:val="single" w:color="auto" w:sz="4" w:space="0"/>
            </w:tcBorders>
            <w:noWrap w:val="0"/>
            <w:vAlign w:val="bottom"/>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0231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高等数学1</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val="en-US" w:eastAsia="zh-CN"/>
              </w:rPr>
              <w:t>0241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大学英语1</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0241</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大学英语2</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2</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2</w:t>
            </w:r>
          </w:p>
        </w:tc>
        <w:tc>
          <w:tcPr>
            <w:tcW w:w="608" w:type="dxa"/>
            <w:tcBorders>
              <w:top w:val="nil"/>
              <w:left w:val="nil"/>
              <w:bottom w:val="single" w:color="auto" w:sz="4" w:space="0"/>
              <w:right w:val="single" w:color="auto" w:sz="4" w:space="0"/>
            </w:tcBorders>
            <w:noWrap w:val="0"/>
            <w:vAlign w:val="bottom"/>
          </w:tcPr>
          <w:p>
            <w:pPr>
              <w:shd w:val="clear"/>
              <w:ind w:firstLine="0" w:firstLineChars="0"/>
              <w:jc w:val="center"/>
              <w:rPr>
                <w:rFonts w:hint="eastAsia" w:ascii="等线" w:hAnsi="等线" w:eastAsia="等线" w:cs="宋体"/>
                <w:color w:val="000000"/>
                <w:kern w:val="0"/>
                <w:sz w:val="22"/>
                <w:szCs w:val="22"/>
                <w:highlight w:val="none"/>
                <w:lang w:val="en-US" w:eastAsia="zh-CN"/>
              </w:rPr>
            </w:pP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r>
      <w:tr>
        <w:tblPrEx>
          <w:tblCellMar>
            <w:top w:w="0" w:type="dxa"/>
            <w:left w:w="108" w:type="dxa"/>
            <w:bottom w:w="0" w:type="dxa"/>
            <w:right w:w="108" w:type="dxa"/>
          </w:tblCellMar>
        </w:tblPrEx>
        <w:trPr>
          <w:trHeight w:val="56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0151</w:t>
            </w:r>
          </w:p>
        </w:tc>
        <w:tc>
          <w:tcPr>
            <w:tcW w:w="2238"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大学生职业规划与创业就业</w:t>
            </w:r>
          </w:p>
        </w:tc>
        <w:tc>
          <w:tcPr>
            <w:tcW w:w="66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1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695" w:type="dxa"/>
            <w:tcBorders>
              <w:top w:val="single" w:color="auto" w:sz="4" w:space="0"/>
              <w:left w:val="nil"/>
              <w:bottom w:val="single" w:color="auto" w:sz="4" w:space="0"/>
              <w:right w:val="single" w:color="auto" w:sz="4" w:space="0"/>
            </w:tcBorders>
            <w:noWrap w:val="0"/>
            <w:vAlign w:val="bottom"/>
          </w:tcPr>
          <w:p>
            <w:pPr>
              <w:shd w:val="clear"/>
              <w:ind w:firstLine="0" w:firstLineChars="0"/>
              <w:jc w:val="center"/>
              <w:rPr>
                <w:rFonts w:ascii="宋体" w:hAnsi="宋体" w:cs="宋体"/>
                <w:color w:val="000000"/>
                <w:kern w:val="0"/>
                <w:sz w:val="22"/>
                <w:szCs w:val="22"/>
                <w:highlight w:val="none"/>
              </w:rPr>
            </w:pPr>
          </w:p>
        </w:tc>
        <w:tc>
          <w:tcPr>
            <w:tcW w:w="608"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0212</w:t>
            </w:r>
          </w:p>
        </w:tc>
        <w:tc>
          <w:tcPr>
            <w:tcW w:w="2238"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中华优秀文化传统</w:t>
            </w:r>
          </w:p>
        </w:tc>
        <w:tc>
          <w:tcPr>
            <w:tcW w:w="66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43" w:type="dxa"/>
            <w:tcBorders>
              <w:top w:val="single" w:color="auto" w:sz="4" w:space="0"/>
              <w:left w:val="nil"/>
              <w:bottom w:val="single" w:color="auto" w:sz="4" w:space="0"/>
              <w:right w:val="single" w:color="auto" w:sz="4" w:space="0"/>
            </w:tcBorders>
            <w:noWrap w:val="0"/>
            <w:vAlign w:val="bottom"/>
          </w:tcPr>
          <w:p>
            <w:pPr>
              <w:shd w:val="clear"/>
              <w:ind w:firstLine="0" w:firstLineChars="0"/>
              <w:jc w:val="center"/>
              <w:rPr>
                <w:rFonts w:ascii="宋体" w:hAnsi="宋体" w:cs="宋体"/>
                <w:color w:val="000000"/>
                <w:kern w:val="0"/>
                <w:sz w:val="22"/>
                <w:szCs w:val="22"/>
                <w:highlight w:val="none"/>
              </w:rPr>
            </w:pPr>
          </w:p>
        </w:tc>
        <w:tc>
          <w:tcPr>
            <w:tcW w:w="51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3</w:t>
            </w:r>
          </w:p>
        </w:tc>
        <w:tc>
          <w:tcPr>
            <w:tcW w:w="608"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val="en-US" w:eastAsia="zh-CN"/>
              </w:rPr>
              <w:t>2201233545/0122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美育课程</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default" w:ascii="宋体" w:hAnsi="宋体" w:cs="宋体"/>
                <w:color w:val="000000"/>
                <w:kern w:val="0"/>
                <w:sz w:val="21"/>
                <w:szCs w:val="21"/>
                <w:highlight w:val="none"/>
                <w:lang w:val="en-US" w:eastAsia="zh-CN"/>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val="en-US" w:eastAsia="zh-CN"/>
              </w:rPr>
              <w:t>0041　</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计算机应用基础</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8</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32</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r>
              <w:rPr>
                <w:rFonts w:hint="default" w:ascii="宋体" w:hAnsi="宋体" w:cs="宋体"/>
                <w:color w:val="000000"/>
                <w:kern w:val="0"/>
                <w:sz w:val="21"/>
                <w:szCs w:val="21"/>
                <w:highlight w:val="none"/>
                <w:lang w:val="en-US" w:eastAsia="zh-CN"/>
              </w:rPr>
              <w:t>√</w:t>
            </w: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应用文写作</w:t>
            </w:r>
          </w:p>
        </w:tc>
        <w:tc>
          <w:tcPr>
            <w:tcW w:w="66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761"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20</w:t>
            </w:r>
          </w:p>
        </w:tc>
        <w:tc>
          <w:tcPr>
            <w:tcW w:w="75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20</w:t>
            </w:r>
          </w:p>
        </w:tc>
        <w:tc>
          <w:tcPr>
            <w:tcW w:w="374"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2</w:t>
            </w:r>
          </w:p>
        </w:tc>
        <w:tc>
          <w:tcPr>
            <w:tcW w:w="50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1</w:t>
            </w:r>
          </w:p>
        </w:tc>
        <w:tc>
          <w:tcPr>
            <w:tcW w:w="60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p>
        </w:tc>
        <w:tc>
          <w:tcPr>
            <w:tcW w:w="606" w:type="dxa"/>
            <w:tcBorders>
              <w:top w:val="nil"/>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Arial" w:hAnsi="Arial" w:eastAsia="等线" w:cs="Arial"/>
                <w:color w:val="000000"/>
                <w:kern w:val="0"/>
                <w:sz w:val="22"/>
                <w:szCs w:val="22"/>
                <w:highlight w:val="none"/>
              </w:rPr>
            </w:pPr>
            <w:r>
              <w:rPr>
                <w:rFonts w:hint="default" w:ascii="宋体" w:hAnsi="宋体" w:cs="宋体"/>
                <w:color w:val="000000"/>
                <w:kern w:val="0"/>
                <w:sz w:val="21"/>
                <w:szCs w:val="21"/>
                <w:highlight w:val="none"/>
                <w:lang w:val="en-US" w:eastAsia="zh-CN"/>
              </w:rPr>
              <w:t>√</w:t>
            </w: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368" w:type="dxa"/>
            <w:gridSpan w:val="2"/>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val="en-US" w:eastAsia="zh-CN"/>
              </w:rPr>
              <w:t>小计</w:t>
            </w:r>
          </w:p>
        </w:tc>
        <w:tc>
          <w:tcPr>
            <w:tcW w:w="66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rPr>
            </w:pPr>
            <w:r>
              <w:rPr>
                <w:rFonts w:hint="eastAsia" w:ascii="宋体" w:hAnsi="宋体" w:cs="宋体"/>
                <w:b/>
                <w:bCs/>
                <w:color w:val="000000"/>
                <w:kern w:val="0"/>
                <w:sz w:val="21"/>
                <w:szCs w:val="21"/>
                <w:highlight w:val="none"/>
                <w:lang w:val="en-US" w:eastAsia="zh-CN"/>
              </w:rPr>
              <w:t>36</w:t>
            </w:r>
          </w:p>
        </w:tc>
        <w:tc>
          <w:tcPr>
            <w:tcW w:w="761"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702　</w:t>
            </w:r>
          </w:p>
        </w:tc>
        <w:tc>
          <w:tcPr>
            <w:tcW w:w="74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546　</w:t>
            </w:r>
          </w:p>
        </w:tc>
        <w:tc>
          <w:tcPr>
            <w:tcW w:w="75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150　</w:t>
            </w:r>
          </w:p>
        </w:tc>
        <w:tc>
          <w:tcPr>
            <w:tcW w:w="374"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6　</w:t>
            </w:r>
          </w:p>
        </w:tc>
        <w:tc>
          <w:tcPr>
            <w:tcW w:w="604"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　</w:t>
            </w:r>
          </w:p>
        </w:tc>
        <w:tc>
          <w:tcPr>
            <w:tcW w:w="50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b/>
                <w:bCs/>
                <w:color w:val="000000"/>
                <w:kern w:val="0"/>
                <w:sz w:val="21"/>
                <w:szCs w:val="21"/>
                <w:highlight w:val="none"/>
                <w:lang w:val="en-US" w:eastAsia="zh-CN"/>
              </w:rPr>
              <w:t>20</w:t>
            </w:r>
          </w:p>
        </w:tc>
        <w:tc>
          <w:tcPr>
            <w:tcW w:w="50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12</w:t>
            </w:r>
          </w:p>
        </w:tc>
        <w:tc>
          <w:tcPr>
            <w:tcW w:w="54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5　</w:t>
            </w:r>
          </w:p>
        </w:tc>
        <w:tc>
          <w:tcPr>
            <w:tcW w:w="54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3</w:t>
            </w:r>
          </w:p>
        </w:tc>
        <w:tc>
          <w:tcPr>
            <w:tcW w:w="510"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　</w:t>
            </w:r>
          </w:p>
        </w:tc>
        <w:tc>
          <w:tcPr>
            <w:tcW w:w="485"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　</w:t>
            </w:r>
          </w:p>
        </w:tc>
        <w:tc>
          <w:tcPr>
            <w:tcW w:w="45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　</w:t>
            </w:r>
          </w:p>
        </w:tc>
        <w:tc>
          <w:tcPr>
            <w:tcW w:w="695"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　</w:t>
            </w:r>
          </w:p>
        </w:tc>
        <w:tc>
          <w:tcPr>
            <w:tcW w:w="60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eastAsia="宋体" w:cs="宋体"/>
                <w:color w:val="000000"/>
                <w:kern w:val="0"/>
                <w:sz w:val="22"/>
                <w:szCs w:val="22"/>
                <w:highlight w:val="none"/>
              </w:rPr>
            </w:pPr>
            <w:r>
              <w:rPr>
                <w:rFonts w:hint="eastAsia" w:ascii="宋体" w:hAnsi="宋体" w:cs="宋体"/>
                <w:color w:val="000000"/>
                <w:kern w:val="0"/>
                <w:sz w:val="21"/>
                <w:szCs w:val="21"/>
                <w:highlight w:val="none"/>
                <w:lang w:val="en-US" w:eastAsia="zh-CN"/>
              </w:rPr>
              <w:t>　</w:t>
            </w:r>
          </w:p>
        </w:tc>
        <w:tc>
          <w:tcPr>
            <w:tcW w:w="606" w:type="dxa"/>
            <w:tcBorders>
              <w:top w:val="nil"/>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Arial" w:hAnsi="Arial" w:eastAsia="等线" w:cs="Arial"/>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restart"/>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eastAsia="zh-CN"/>
              </w:rPr>
              <w:t>专业必修课</w:t>
            </w: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专</w:t>
            </w:r>
          </w:p>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业</w:t>
            </w:r>
          </w:p>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基</w:t>
            </w:r>
          </w:p>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础</w:t>
            </w:r>
          </w:p>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课</w:t>
            </w: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22080001　</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eastAsia="宋体" w:cs="宋体"/>
                <w:color w:val="000000"/>
                <w:kern w:val="0"/>
                <w:sz w:val="22"/>
                <w:szCs w:val="22"/>
                <w:highlight w:val="none"/>
              </w:rPr>
            </w:pPr>
            <w:r>
              <w:rPr>
                <w:rFonts w:hint="eastAsia" w:ascii="宋体" w:hAnsi="宋体" w:cs="宋体"/>
                <w:color w:val="000000"/>
                <w:kern w:val="0"/>
                <w:sz w:val="21"/>
                <w:szCs w:val="21"/>
                <w:highlight w:val="none"/>
              </w:rPr>
              <w:t>　旅游英语</w:t>
            </w:r>
          </w:p>
        </w:tc>
        <w:tc>
          <w:tcPr>
            <w:tcW w:w="66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10</w:t>
            </w:r>
          </w:p>
        </w:tc>
        <w:tc>
          <w:tcPr>
            <w:tcW w:w="761"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160</w:t>
            </w:r>
          </w:p>
        </w:tc>
        <w:tc>
          <w:tcPr>
            <w:tcW w:w="74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80</w:t>
            </w:r>
          </w:p>
        </w:tc>
        <w:tc>
          <w:tcPr>
            <w:tcW w:w="75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80</w:t>
            </w:r>
          </w:p>
        </w:tc>
        <w:tc>
          <w:tcPr>
            <w:tcW w:w="374"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54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510"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eastAsia="宋体" w:cs="宋体"/>
                <w:color w:val="000000"/>
                <w:kern w:val="0"/>
                <w:sz w:val="22"/>
                <w:szCs w:val="22"/>
                <w:highlight w:val="none"/>
              </w:rPr>
            </w:pPr>
            <w:r>
              <w:rPr>
                <w:rFonts w:hint="eastAsia" w:ascii="宋体" w:hAnsi="宋体" w:cs="宋体"/>
                <w:color w:val="000000"/>
                <w:kern w:val="0"/>
                <w:sz w:val="21"/>
                <w:szCs w:val="21"/>
                <w:highlight w:val="none"/>
              </w:rPr>
              <w:t>3-4　</w:t>
            </w:r>
          </w:p>
        </w:tc>
        <w:tc>
          <w:tcPr>
            <w:tcW w:w="60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Arial" w:hAnsi="Arial" w:eastAsia="等线" w:cs="Arial"/>
                <w:color w:val="000000"/>
                <w:kern w:val="0"/>
                <w:sz w:val="22"/>
                <w:szCs w:val="22"/>
                <w:highlight w:val="none"/>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single" w:color="auto" w:sz="4" w:space="0"/>
              <w:left w:val="nil"/>
              <w:bottom w:val="single" w:color="auto" w:sz="4" w:space="0"/>
              <w:right w:val="single" w:color="000000"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22080002</w:t>
            </w:r>
          </w:p>
        </w:tc>
        <w:tc>
          <w:tcPr>
            <w:tcW w:w="2238" w:type="dxa"/>
            <w:tcBorders>
              <w:top w:val="single" w:color="auto" w:sz="4" w:space="0"/>
              <w:left w:val="nil"/>
              <w:bottom w:val="single" w:color="auto" w:sz="4" w:space="0"/>
              <w:right w:val="single" w:color="000000" w:sz="4" w:space="0"/>
            </w:tcBorders>
            <w:shd w:val="clear" w:color="auto" w:fill="auto"/>
            <w:noWrap w:val="0"/>
            <w:vAlign w:val="center"/>
          </w:tcPr>
          <w:p>
            <w:pPr>
              <w:shd w:val="clear"/>
              <w:ind w:firstLine="0" w:firstLineChars="0"/>
              <w:jc w:val="center"/>
              <w:rPr>
                <w:rFonts w:hint="eastAsia" w:eastAsiaTheme="majorEastAsia"/>
                <w:color w:val="000000" w:themeColor="text1"/>
                <w:highlight w:val="none"/>
                <w:lang w:eastAsia="zh-CN"/>
                <w14:textFill>
                  <w14:solidFill>
                    <w14:schemeClr w14:val="tx1"/>
                  </w14:solidFill>
                </w14:textFill>
              </w:rPr>
            </w:pPr>
            <w:r>
              <w:rPr>
                <w:rFonts w:hint="eastAsia" w:ascii="宋体" w:hAnsi="宋体" w:cs="宋体"/>
                <w:color w:val="000000"/>
                <w:kern w:val="0"/>
                <w:sz w:val="21"/>
                <w:szCs w:val="21"/>
                <w:highlight w:val="none"/>
                <w:lang w:eastAsia="zh-CN"/>
              </w:rPr>
              <w:t>茶艺服务与管理实务</w:t>
            </w:r>
          </w:p>
        </w:tc>
        <w:tc>
          <w:tcPr>
            <w:tcW w:w="663"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lang w:val="en-US" w:eastAsia="zh-CN"/>
              </w:rPr>
              <w:t>40</w:t>
            </w:r>
            <w:r>
              <w:rPr>
                <w:rFonts w:hint="eastAsia" w:ascii="宋体" w:hAnsi="宋体" w:cs="宋体"/>
                <w:color w:val="000000"/>
                <w:kern w:val="0"/>
                <w:sz w:val="21"/>
                <w:szCs w:val="21"/>
                <w:highlight w:val="none"/>
              </w:rPr>
              <w:t>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lang w:val="en-US" w:eastAsia="zh-CN"/>
              </w:rPr>
              <w:t>40</w:t>
            </w:r>
            <w:r>
              <w:rPr>
                <w:rFonts w:hint="eastAsia" w:ascii="宋体" w:hAnsi="宋体" w:cs="宋体"/>
                <w:color w:val="000000"/>
                <w:kern w:val="0"/>
                <w:sz w:val="21"/>
                <w:szCs w:val="21"/>
                <w:highlight w:val="none"/>
              </w:rPr>
              <w:t>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i/>
                <w:iCs/>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i/>
                <w:iCs/>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i/>
                <w:iCs/>
                <w:color w:val="000000"/>
                <w:kern w:val="0"/>
                <w:sz w:val="22"/>
                <w:szCs w:val="22"/>
                <w:highlight w:val="none"/>
              </w:rPr>
            </w:pPr>
            <w:r>
              <w:rPr>
                <w:rFonts w:hint="eastAsia" w:ascii="宋体" w:hAnsi="宋体" w:cs="宋体"/>
                <w:color w:val="000000"/>
                <w:kern w:val="0"/>
                <w:sz w:val="21"/>
                <w:szCs w:val="21"/>
                <w:highlight w:val="none"/>
              </w:rPr>
              <w:t>4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i/>
                <w:iCs/>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3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3"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22080003</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eastAsia="zh-CN"/>
              </w:rPr>
            </w:pPr>
            <w:r>
              <w:rPr>
                <w:rFonts w:hint="eastAsia" w:ascii="宋体" w:hAnsi="宋体" w:cs="宋体"/>
                <w:color w:val="000000"/>
                <w:kern w:val="0"/>
                <w:sz w:val="21"/>
                <w:szCs w:val="21"/>
                <w:highlight w:val="none"/>
              </w:rPr>
              <w:t>　</w:t>
            </w:r>
            <w:r>
              <w:rPr>
                <w:rFonts w:hint="eastAsia" w:ascii="宋体" w:hAnsi="宋体" w:cs="宋体"/>
                <w:color w:val="000000"/>
                <w:kern w:val="0"/>
                <w:sz w:val="21"/>
                <w:szCs w:val="21"/>
                <w:highlight w:val="none"/>
                <w:lang w:eastAsia="zh-CN"/>
              </w:rPr>
              <w:t>乡村旅游概论</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80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22080004</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普通话</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rPr>
            </w:pPr>
            <w:r>
              <w:rPr>
                <w:rFonts w:hint="eastAsia" w:ascii="宋体" w:hAnsi="宋体" w:cs="宋体"/>
                <w:color w:val="000000"/>
                <w:kern w:val="0"/>
                <w:sz w:val="21"/>
                <w:szCs w:val="21"/>
                <w:highlight w:val="none"/>
                <w:lang w:val="en-US" w:eastAsia="zh-CN"/>
              </w:rPr>
              <w:t>2.5</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1</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368" w:type="dxa"/>
            <w:gridSpan w:val="2"/>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小计</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2</w:t>
            </w:r>
            <w:r>
              <w:rPr>
                <w:rFonts w:hint="eastAsia" w:ascii="宋体" w:hAnsi="宋体" w:cs="宋体"/>
                <w:b/>
                <w:bCs/>
                <w:color w:val="000000"/>
                <w:kern w:val="0"/>
                <w:sz w:val="21"/>
                <w:szCs w:val="21"/>
                <w:highlight w:val="none"/>
                <w:lang w:val="en-US" w:eastAsia="zh-CN"/>
              </w:rPr>
              <w:t>2.5</w:t>
            </w:r>
            <w:r>
              <w:rPr>
                <w:rFonts w:hint="eastAsia" w:ascii="宋体" w:hAnsi="宋体" w:cs="宋体"/>
                <w:b/>
                <w:bCs/>
                <w:color w:val="000000"/>
                <w:kern w:val="0"/>
                <w:sz w:val="21"/>
                <w:szCs w:val="21"/>
                <w:highlight w:val="none"/>
              </w:rPr>
              <w:t>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b/>
                <w:bCs/>
                <w:color w:val="000000"/>
                <w:kern w:val="0"/>
                <w:sz w:val="21"/>
                <w:szCs w:val="21"/>
                <w:highlight w:val="none"/>
                <w:lang w:val="en-US" w:eastAsia="zh-CN"/>
              </w:rPr>
              <w:t>360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200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160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2</w:t>
            </w:r>
            <w:r>
              <w:rPr>
                <w:rFonts w:hint="eastAsia" w:ascii="宋体" w:hAnsi="宋体" w:cs="宋体"/>
                <w:b/>
                <w:bCs/>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0</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8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8</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b/>
                <w:bCs/>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专</w:t>
            </w:r>
          </w:p>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业</w:t>
            </w:r>
          </w:p>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核</w:t>
            </w:r>
          </w:p>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心</w:t>
            </w:r>
          </w:p>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课</w:t>
            </w: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22080005</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旅游学概论</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5</w:t>
            </w:r>
            <w:r>
              <w:rPr>
                <w:rFonts w:hint="eastAsia" w:ascii="宋体" w:hAnsi="宋体" w:cs="宋体"/>
                <w:color w:val="000000"/>
                <w:kern w:val="0"/>
                <w:sz w:val="21"/>
                <w:szCs w:val="21"/>
                <w:highlight w:val="none"/>
              </w:rPr>
              <w:t>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80</w:t>
            </w:r>
            <w:r>
              <w:rPr>
                <w:rFonts w:hint="eastAsia" w:ascii="宋体" w:hAnsi="宋体" w:cs="宋体"/>
                <w:color w:val="000000"/>
                <w:kern w:val="0"/>
                <w:sz w:val="21"/>
                <w:szCs w:val="21"/>
                <w:highlight w:val="none"/>
              </w:rPr>
              <w:t>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80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eastAsia="宋体" w:cs="宋体"/>
                <w:color w:val="000000"/>
                <w:kern w:val="0"/>
                <w:sz w:val="22"/>
                <w:szCs w:val="22"/>
                <w:highlight w:val="none"/>
                <w:lang w:val="en-US" w:eastAsia="zh-CN"/>
              </w:rPr>
            </w:pPr>
            <w:r>
              <w:rPr>
                <w:rFonts w:hint="eastAsia" w:ascii="宋体" w:hAnsi="宋体" w:cs="宋体"/>
                <w:color w:val="000000"/>
                <w:kern w:val="0"/>
                <w:sz w:val="21"/>
                <w:szCs w:val="21"/>
                <w:highlight w:val="none"/>
              </w:rPr>
              <w:t>1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single" w:color="auto" w:sz="4" w:space="0"/>
              <w:left w:val="nil"/>
              <w:bottom w:val="single" w:color="auto" w:sz="4" w:space="0"/>
              <w:right w:val="single" w:color="000000"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22080006</w:t>
            </w:r>
          </w:p>
        </w:tc>
        <w:tc>
          <w:tcPr>
            <w:tcW w:w="2238" w:type="dxa"/>
            <w:tcBorders>
              <w:top w:val="single" w:color="auto" w:sz="4" w:space="0"/>
              <w:left w:val="nil"/>
              <w:bottom w:val="single" w:color="auto" w:sz="4" w:space="0"/>
              <w:right w:val="single" w:color="000000" w:sz="4" w:space="0"/>
            </w:tcBorders>
            <w:shd w:val="clear" w:color="auto" w:fill="auto"/>
            <w:noWrap w:val="0"/>
            <w:vAlign w:val="center"/>
          </w:tcPr>
          <w:p>
            <w:pPr>
              <w:shd w:val="clear"/>
              <w:ind w:firstLine="0" w:firstLineChars="0"/>
              <w:jc w:val="center"/>
              <w:rPr>
                <w:color w:val="000000" w:themeColor="text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　现代饭店管理</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80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4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3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b/>
                <w:bCs/>
                <w:color w:val="000000"/>
                <w:kern w:val="0"/>
                <w:sz w:val="22"/>
                <w:szCs w:val="22"/>
                <w:highlight w:val="none"/>
              </w:rPr>
            </w:pPr>
            <w:r>
              <w:rPr>
                <w:rFonts w:ascii="Arial" w:hAnsi="Arial" w:eastAsia="等线" w:cs="Arial"/>
                <w:color w:val="000000"/>
                <w:kern w:val="0"/>
                <w:sz w:val="21"/>
                <w:szCs w:val="21"/>
                <w:highlight w:val="none"/>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b/>
                <w:bCs/>
                <w:color w:val="000000"/>
                <w:kern w:val="0"/>
                <w:sz w:val="22"/>
                <w:szCs w:val="22"/>
                <w:highlight w:val="none"/>
              </w:rPr>
            </w:pPr>
          </w:p>
        </w:tc>
      </w:tr>
      <w:tr>
        <w:tblPrEx>
          <w:tblCellMar>
            <w:top w:w="0" w:type="dxa"/>
            <w:left w:w="108" w:type="dxa"/>
            <w:bottom w:w="0" w:type="dxa"/>
            <w:right w:w="108" w:type="dxa"/>
          </w:tblCellMar>
        </w:tblPrEx>
        <w:trPr>
          <w:trHeight w:val="283"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22080007</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　中国旅游文化</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2.5</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r>
              <w:rPr>
                <w:rFonts w:ascii="Arial" w:hAnsi="Arial" w:eastAsia="等线" w:cs="Arial"/>
                <w:color w:val="000000"/>
                <w:kern w:val="0"/>
                <w:sz w:val="21"/>
                <w:szCs w:val="21"/>
                <w:highlight w:val="none"/>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3"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22080008</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themeColor="text1"/>
                <w:kern w:val="0"/>
                <w:sz w:val="21"/>
                <w:szCs w:val="21"/>
                <w:highlight w:val="none"/>
                <w14:textFill>
                  <w14:solidFill>
                    <w14:schemeClr w14:val="tx1"/>
                  </w14:solidFill>
                </w14:textFill>
              </w:rPr>
              <w:t>旅游政策与法律法规</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5</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80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80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r>
              <w:rPr>
                <w:rFonts w:ascii="Arial" w:hAnsi="Arial" w:eastAsia="等线" w:cs="Arial"/>
                <w:color w:val="000000"/>
                <w:kern w:val="0"/>
                <w:sz w:val="21"/>
                <w:szCs w:val="21"/>
                <w:highlight w:val="none"/>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22080009</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导游业务</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40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lang w:val="en-US" w:eastAsia="zh-CN"/>
              </w:rPr>
              <w:t>40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4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2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lang w:val="en-US" w:eastAsia="zh-CN" w:bidi="ar-SA"/>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22080010</w:t>
            </w:r>
          </w:p>
        </w:tc>
        <w:tc>
          <w:tcPr>
            <w:tcW w:w="2238" w:type="dxa"/>
            <w:tcBorders>
              <w:top w:val="nil"/>
              <w:left w:val="nil"/>
              <w:bottom w:val="single" w:color="auto" w:sz="4" w:space="0"/>
              <w:right w:val="single" w:color="auto" w:sz="4" w:space="0"/>
            </w:tcBorders>
            <w:shd w:val="clear" w:color="auto" w:fill="auto"/>
            <w:noWrap w:val="0"/>
            <w:vAlign w:val="center"/>
          </w:tcPr>
          <w:p>
            <w:pPr>
              <w:shd w:val="clear"/>
              <w:ind w:firstLine="0" w:firstLineChars="0"/>
              <w:rPr>
                <w:rFonts w:hint="eastAsia" w:asciiTheme="majorHAnsi" w:hAnsiTheme="majorHAnsi" w:eastAsiaTheme="majorEastAsia" w:cstheme="minorBidi"/>
                <w:kern w:val="2"/>
                <w:sz w:val="28"/>
                <w:szCs w:val="28"/>
                <w:highlight w:val="none"/>
                <w:lang w:val="en-US" w:eastAsia="zh-CN" w:bidi="ar-SA"/>
              </w:rPr>
            </w:pPr>
            <w:r>
              <w:rPr>
                <w:rFonts w:hint="eastAsia" w:ascii="宋体" w:hAnsi="宋体" w:cs="宋体"/>
                <w:color w:val="000000"/>
                <w:kern w:val="0"/>
                <w:sz w:val="21"/>
                <w:szCs w:val="21"/>
                <w:highlight w:val="none"/>
              </w:rPr>
              <w:t>导游基础（地方、全国）</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b/>
                <w:bCs/>
                <w:color w:val="000000"/>
                <w:kern w:val="0"/>
                <w:sz w:val="22"/>
                <w:szCs w:val="22"/>
                <w:highlight w:val="none"/>
                <w:lang w:val="en-US" w:eastAsia="zh-CN" w:bidi="ar-SA"/>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b/>
                <w:bCs/>
                <w:color w:val="000000"/>
                <w:kern w:val="0"/>
                <w:sz w:val="22"/>
                <w:szCs w:val="22"/>
                <w:highlight w:val="none"/>
                <w:lang w:val="en-US" w:eastAsia="zh-CN" w:bidi="ar-SA"/>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eastAsia="宋体" w:cs="宋体"/>
                <w:b/>
                <w:bCs/>
                <w:color w:val="000000"/>
                <w:kern w:val="0"/>
                <w:sz w:val="22"/>
                <w:szCs w:val="22"/>
                <w:highlight w:val="none"/>
                <w:lang w:val="en-US" w:eastAsia="zh-CN" w:bidi="ar-SA"/>
              </w:rPr>
            </w:pPr>
            <w:r>
              <w:rPr>
                <w:rFonts w:hint="eastAsia" w:ascii="宋体" w:hAnsi="宋体" w:cs="宋体"/>
                <w:color w:val="000000"/>
                <w:kern w:val="0"/>
                <w:sz w:val="21"/>
                <w:szCs w:val="21"/>
                <w:highlight w:val="none"/>
              </w:rPr>
              <w:t>80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b/>
                <w:bCs/>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b/>
                <w:bCs/>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eastAsia="宋体" w:cs="宋体"/>
                <w:b/>
                <w:bCs/>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eastAsia="宋体" w:cs="宋体"/>
                <w:b/>
                <w:bCs/>
                <w:color w:val="000000"/>
                <w:kern w:val="0"/>
                <w:sz w:val="22"/>
                <w:szCs w:val="22"/>
                <w:highlight w:val="none"/>
                <w:lang w:val="en-US" w:eastAsia="zh-CN" w:bidi="ar-SA"/>
              </w:rPr>
            </w:pPr>
            <w:r>
              <w:rPr>
                <w:rFonts w:hint="eastAsia" w:ascii="宋体" w:hAnsi="宋体" w:cs="宋体"/>
                <w:color w:val="000000"/>
                <w:kern w:val="0"/>
                <w:sz w:val="21"/>
                <w:szCs w:val="21"/>
                <w:highlight w:val="none"/>
              </w:rPr>
              <w:t>4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b/>
                <w:bCs/>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b/>
                <w:bCs/>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2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lang w:val="en-US" w:eastAsia="zh-CN" w:bidi="ar-SA"/>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368" w:type="dxa"/>
            <w:gridSpan w:val="2"/>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i/>
                <w:iCs/>
                <w:color w:val="000000"/>
                <w:kern w:val="0"/>
                <w:sz w:val="21"/>
                <w:szCs w:val="21"/>
                <w:highlight w:val="none"/>
              </w:rPr>
              <w:t>小计</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27.5</w:t>
            </w:r>
            <w:r>
              <w:rPr>
                <w:rFonts w:hint="eastAsia" w:ascii="宋体" w:hAnsi="宋体" w:cs="宋体"/>
                <w:b/>
                <w:bCs/>
                <w:color w:val="000000"/>
                <w:kern w:val="0"/>
                <w:sz w:val="21"/>
                <w:szCs w:val="21"/>
                <w:highlight w:val="none"/>
              </w:rPr>
              <w:t>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440</w:t>
            </w:r>
            <w:r>
              <w:rPr>
                <w:rFonts w:hint="eastAsia" w:ascii="宋体" w:hAnsi="宋体" w:cs="宋体"/>
                <w:b/>
                <w:bCs/>
                <w:color w:val="000000"/>
                <w:kern w:val="0"/>
                <w:sz w:val="21"/>
                <w:szCs w:val="21"/>
                <w:highlight w:val="none"/>
              </w:rPr>
              <w:t>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400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40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4</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b/>
                <w:bCs/>
                <w:color w:val="000000"/>
                <w:kern w:val="0"/>
                <w:sz w:val="21"/>
                <w:szCs w:val="21"/>
                <w:highlight w:val="none"/>
                <w:lang w:val="en-US" w:eastAsia="zh-CN"/>
              </w:rPr>
              <w:t>12</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4</w:t>
            </w:r>
            <w:r>
              <w:rPr>
                <w:rFonts w:hint="eastAsia" w:ascii="宋体" w:hAnsi="宋体" w:cs="宋体"/>
                <w:b/>
                <w:bCs/>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2</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专</w:t>
            </w:r>
          </w:p>
          <w:p>
            <w:pPr>
              <w:shd w:val="clear"/>
              <w:ind w:firstLine="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业</w:t>
            </w:r>
          </w:p>
          <w:p>
            <w:pPr>
              <w:shd w:val="clear"/>
              <w:ind w:firstLine="0" w:firstLineChars="0"/>
              <w:jc w:val="center"/>
              <w:rPr>
                <w:rFonts w:hint="eastAsia" w:ascii="宋体" w:hAnsi="宋体" w:cs="宋体"/>
                <w:color w:val="000000"/>
                <w:kern w:val="0"/>
                <w:sz w:val="21"/>
                <w:szCs w:val="21"/>
                <w:highlight w:val="none"/>
                <w:lang w:eastAsia="zh-CN"/>
              </w:rPr>
            </w:pPr>
            <w:r>
              <w:rPr>
                <w:rFonts w:hint="eastAsia" w:ascii="宋体" w:hAnsi="宋体" w:cs="宋体"/>
                <w:color w:val="000000"/>
                <w:kern w:val="0"/>
                <w:sz w:val="21"/>
                <w:szCs w:val="21"/>
                <w:highlight w:val="none"/>
                <w:lang w:eastAsia="zh-CN"/>
              </w:rPr>
              <w:t>方</w:t>
            </w:r>
          </w:p>
          <w:p>
            <w:pPr>
              <w:shd w:val="clear"/>
              <w:ind w:firstLine="0" w:firstLineChars="0"/>
              <w:jc w:val="center"/>
              <w:rPr>
                <w:rFonts w:hint="eastAsia" w:ascii="宋体" w:hAnsi="宋体" w:cs="宋体"/>
                <w:color w:val="000000"/>
                <w:kern w:val="0"/>
                <w:sz w:val="21"/>
                <w:szCs w:val="21"/>
                <w:highlight w:val="none"/>
                <w:lang w:eastAsia="zh-CN"/>
              </w:rPr>
            </w:pPr>
            <w:r>
              <w:rPr>
                <w:rFonts w:hint="eastAsia" w:ascii="宋体" w:hAnsi="宋体" w:cs="宋体"/>
                <w:color w:val="000000"/>
                <w:kern w:val="0"/>
                <w:sz w:val="21"/>
                <w:szCs w:val="21"/>
                <w:highlight w:val="none"/>
                <w:lang w:eastAsia="zh-CN"/>
              </w:rPr>
              <w:t>向</w:t>
            </w:r>
          </w:p>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课</w:t>
            </w: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22080011</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景区服务与管理</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lang w:val="en-US" w:eastAsia="zh-CN"/>
              </w:rPr>
              <w:t>40</w:t>
            </w:r>
            <w:r>
              <w:rPr>
                <w:rFonts w:hint="eastAsia" w:ascii="宋体" w:hAnsi="宋体" w:cs="宋体"/>
                <w:color w:val="000000"/>
                <w:kern w:val="0"/>
                <w:sz w:val="21"/>
                <w:szCs w:val="21"/>
                <w:highlight w:val="none"/>
              </w:rPr>
              <w:t>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lang w:val="en-US" w:eastAsia="zh-CN"/>
              </w:rPr>
              <w:t>40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4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4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lang w:val="en-US" w:eastAsia="zh-CN" w:bidi="ar-SA"/>
              </w:rPr>
            </w:pPr>
            <w:r>
              <w:rPr>
                <w:rFonts w:ascii="Arial" w:hAnsi="Arial" w:eastAsia="等线" w:cs="Arial"/>
                <w:color w:val="000000"/>
                <w:kern w:val="0"/>
                <w:sz w:val="21"/>
                <w:szCs w:val="21"/>
                <w:highlight w:val="none"/>
              </w:rPr>
              <w:t>√</w:t>
            </w:r>
            <w:r>
              <w:rPr>
                <w:rFonts w:hint="eastAsia" w:ascii="Arial" w:hAnsi="Arial" w:eastAsia="等线" w:cs="Arial"/>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single" w:color="auto" w:sz="4" w:space="0"/>
              <w:left w:val="nil"/>
              <w:bottom w:val="nil"/>
              <w:right w:val="single" w:color="000000" w:sz="4" w:space="0"/>
            </w:tcBorders>
            <w:noWrap w:val="0"/>
            <w:vAlign w:val="center"/>
          </w:tcPr>
          <w:p>
            <w:pPr>
              <w:shd w:val="clear"/>
              <w:ind w:firstLine="0" w:firstLineChars="0"/>
              <w:jc w:val="center"/>
              <w:rPr>
                <w:rFonts w:ascii="宋体" w:hAnsi="宋体" w:cs="宋体"/>
                <w:b/>
                <w:bCs/>
                <w:i/>
                <w:iCs/>
                <w:color w:val="000000"/>
                <w:kern w:val="0"/>
                <w:sz w:val="22"/>
                <w:szCs w:val="22"/>
                <w:highlight w:val="none"/>
              </w:rPr>
            </w:pPr>
            <w:r>
              <w:rPr>
                <w:rFonts w:hint="eastAsia" w:ascii="宋体" w:hAnsi="宋体" w:cs="宋体"/>
                <w:color w:val="000000"/>
                <w:kern w:val="0"/>
                <w:sz w:val="21"/>
                <w:szCs w:val="21"/>
                <w:highlight w:val="none"/>
              </w:rPr>
              <w:t>22080012</w:t>
            </w:r>
          </w:p>
        </w:tc>
        <w:tc>
          <w:tcPr>
            <w:tcW w:w="2238" w:type="dxa"/>
            <w:tcBorders>
              <w:top w:val="single" w:color="auto" w:sz="4" w:space="0"/>
              <w:left w:val="nil"/>
              <w:bottom w:val="nil"/>
              <w:right w:val="single" w:color="000000"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旅行社经营管理</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1"/>
                <w:szCs w:val="21"/>
                <w:highlight w:val="none"/>
              </w:rPr>
              <w:t>80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4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eastAsiaTheme="majorEastAsia"/>
                <w:color w:val="000000"/>
                <w:kern w:val="0"/>
                <w:sz w:val="22"/>
                <w:szCs w:val="22"/>
                <w:highlight w:val="none"/>
                <w:lang w:val="en-US" w:eastAsia="zh-CN" w:bidi="ar-SA"/>
              </w:rPr>
            </w:pPr>
            <w:r>
              <w:rPr>
                <w:rFonts w:hint="eastAsia" w:ascii="宋体" w:hAnsi="宋体" w:cs="宋体"/>
                <w:color w:val="000000"/>
                <w:kern w:val="0"/>
                <w:sz w:val="21"/>
                <w:szCs w:val="21"/>
                <w:highlight w:val="none"/>
              </w:rPr>
              <w:t>3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hint="eastAsia" w:ascii="宋体" w:hAnsi="宋体" w:eastAsia="宋体" w:cs="宋体"/>
                <w:color w:val="000000"/>
                <w:kern w:val="0"/>
                <w:sz w:val="22"/>
                <w:szCs w:val="22"/>
                <w:highlight w:val="none"/>
                <w:lang w:val="en-US" w:eastAsia="zh-CN" w:bidi="ar-SA"/>
              </w:rPr>
            </w:pP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lang w:val="en-US" w:eastAsia="zh-CN" w:bidi="ar-SA"/>
              </w:rPr>
            </w:pPr>
            <w:r>
              <w:rPr>
                <w:rFonts w:ascii="Arial" w:hAnsi="Arial" w:eastAsia="等线" w:cs="Arial"/>
                <w:color w:val="000000"/>
                <w:kern w:val="0"/>
                <w:sz w:val="21"/>
                <w:szCs w:val="21"/>
                <w:highlight w:val="none"/>
              </w:rPr>
              <w:t>√</w:t>
            </w:r>
            <w:r>
              <w:rPr>
                <w:rFonts w:hint="eastAsia" w:ascii="Arial" w:hAnsi="Arial" w:eastAsia="等线" w:cs="Arial"/>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3"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rPr>
                <w:rFonts w:ascii="宋体" w:hAnsi="宋体" w:cs="宋体"/>
                <w:color w:val="000000"/>
                <w:kern w:val="0"/>
                <w:sz w:val="22"/>
                <w:szCs w:val="22"/>
                <w:highlight w:val="none"/>
              </w:rPr>
            </w:pPr>
          </w:p>
        </w:tc>
        <w:tc>
          <w:tcPr>
            <w:tcW w:w="1130" w:type="dxa"/>
            <w:tcBorders>
              <w:top w:val="single" w:color="auto" w:sz="4" w:space="0"/>
              <w:left w:val="nil"/>
              <w:bottom w:val="single" w:color="auto" w:sz="4" w:space="0"/>
              <w:right w:val="single" w:color="auto" w:sz="4" w:space="0"/>
            </w:tcBorders>
            <w:noWrap w:val="0"/>
            <w:vAlign w:val="center"/>
          </w:tcPr>
          <w:p>
            <w:pPr>
              <w:shd w:val="clear"/>
              <w:ind w:firstLine="0" w:firstLineChars="0"/>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22080013</w:t>
            </w:r>
          </w:p>
        </w:tc>
        <w:tc>
          <w:tcPr>
            <w:tcW w:w="2238"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现场导游</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2.5</w:t>
            </w:r>
            <w:r>
              <w:rPr>
                <w:rFonts w:hint="eastAsia" w:ascii="宋体" w:hAnsi="宋体" w:cs="宋体"/>
                <w:color w:val="000000"/>
                <w:kern w:val="0"/>
                <w:sz w:val="21"/>
                <w:szCs w:val="21"/>
                <w:highlight w:val="none"/>
              </w:rPr>
              <w:t>　</w:t>
            </w:r>
          </w:p>
        </w:tc>
        <w:tc>
          <w:tcPr>
            <w:tcW w:w="761"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r>
              <w:rPr>
                <w:rFonts w:hint="eastAsia" w:ascii="宋体" w:hAnsi="宋体" w:cs="宋体"/>
                <w:color w:val="000000"/>
                <w:kern w:val="0"/>
                <w:sz w:val="21"/>
                <w:szCs w:val="21"/>
                <w:highlight w:val="none"/>
              </w:rPr>
              <w:t>　</w:t>
            </w:r>
          </w:p>
        </w:tc>
        <w:tc>
          <w:tcPr>
            <w:tcW w:w="746"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759" w:type="dxa"/>
            <w:tcBorders>
              <w:top w:val="nil"/>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40</w:t>
            </w:r>
            <w:r>
              <w:rPr>
                <w:rFonts w:hint="eastAsia" w:ascii="宋体" w:hAnsi="宋体" w:cs="宋体"/>
                <w:color w:val="000000"/>
                <w:kern w:val="0"/>
                <w:sz w:val="21"/>
                <w:szCs w:val="21"/>
                <w:highlight w:val="none"/>
              </w:rPr>
              <w:t>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3</w:t>
            </w:r>
            <w:r>
              <w:rPr>
                <w:rFonts w:hint="eastAsia" w:ascii="宋体" w:hAnsi="宋体" w:cs="宋体"/>
                <w:color w:val="000000"/>
                <w:kern w:val="0"/>
                <w:sz w:val="21"/>
                <w:szCs w:val="21"/>
                <w:highlight w:val="none"/>
              </w:rPr>
              <w:t>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22080014</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前厅与客房服务</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5　</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80　</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20　</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60　</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　</w:t>
            </w: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　</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r>
              <w:rPr>
                <w:rFonts w:hint="eastAsia" w:ascii="等线" w:hAnsi="等线" w:eastAsia="等线" w:cs="宋体"/>
                <w:color w:val="000000"/>
                <w:kern w:val="0"/>
                <w:sz w:val="21"/>
                <w:szCs w:val="21"/>
                <w:highlight w:val="none"/>
              </w:rPr>
              <w:t>　</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504"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22080015</w:t>
            </w: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餐厅服务与实训</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5</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80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80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w:t>
            </w: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4</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rPr>
              <w:t>社交礼仪</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2.5</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40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10</w:t>
            </w: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1"/>
                <w:szCs w:val="21"/>
                <w:highlight w:val="none"/>
                <w:lang w:val="en-US" w:eastAsia="zh-CN"/>
              </w:rPr>
              <w:t>30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2</w:t>
            </w: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4</w:t>
            </w: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ascii="Arial" w:hAnsi="Arial" w:eastAsia="等线" w:cs="Arial"/>
                <w:color w:val="000000"/>
                <w:kern w:val="0"/>
                <w:sz w:val="21"/>
                <w:szCs w:val="21"/>
                <w:highlight w:val="none"/>
              </w:rPr>
              <w:t>√</w:t>
            </w: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91" w:hRule="atLeast"/>
        </w:trPr>
        <w:tc>
          <w:tcPr>
            <w:tcW w:w="471" w:type="dxa"/>
            <w:vMerge w:val="continue"/>
            <w:tcBorders>
              <w:top w:val="nil"/>
              <w:left w:val="single" w:color="auto" w:sz="4" w:space="0"/>
              <w:bottom w:val="single" w:color="000000"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113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2238"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顶岗实习、毕业设计</w:t>
            </w:r>
          </w:p>
        </w:tc>
        <w:tc>
          <w:tcPr>
            <w:tcW w:w="66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50</w:t>
            </w:r>
          </w:p>
        </w:tc>
        <w:tc>
          <w:tcPr>
            <w:tcW w:w="761"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800</w:t>
            </w:r>
          </w:p>
        </w:tc>
        <w:tc>
          <w:tcPr>
            <w:tcW w:w="74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5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eastAsia="宋体" w:cs="宋体"/>
                <w:color w:val="000000"/>
                <w:kern w:val="0"/>
                <w:sz w:val="21"/>
                <w:szCs w:val="21"/>
                <w:highlight w:val="none"/>
              </w:rPr>
              <w:t>800</w:t>
            </w:r>
          </w:p>
        </w:tc>
        <w:tc>
          <w:tcPr>
            <w:tcW w:w="37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4"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9"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06"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4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510"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8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453"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95" w:type="dxa"/>
            <w:tcBorders>
              <w:top w:val="nil"/>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608" w:type="dxa"/>
            <w:tcBorders>
              <w:top w:val="nil"/>
              <w:left w:val="nil"/>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p>
        </w:tc>
        <w:tc>
          <w:tcPr>
            <w:tcW w:w="606" w:type="dxa"/>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401" w:hRule="atLeast"/>
        </w:trPr>
        <w:tc>
          <w:tcPr>
            <w:tcW w:w="471" w:type="dxa"/>
            <w:vMerge w:val="continue"/>
            <w:tcBorders>
              <w:top w:val="nil"/>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368" w:type="dxa"/>
            <w:gridSpan w:val="2"/>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i/>
                <w:iCs/>
                <w:color w:val="000000"/>
                <w:kern w:val="0"/>
                <w:sz w:val="21"/>
                <w:szCs w:val="21"/>
                <w:highlight w:val="none"/>
              </w:rPr>
              <w:t>小计</w:t>
            </w:r>
          </w:p>
        </w:tc>
        <w:tc>
          <w:tcPr>
            <w:tcW w:w="66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rPr>
            </w:pPr>
            <w:r>
              <w:rPr>
                <w:rFonts w:hint="eastAsia" w:ascii="宋体" w:hAnsi="宋体" w:cs="宋体"/>
                <w:b/>
                <w:bCs/>
                <w:color w:val="000000"/>
                <w:kern w:val="0"/>
                <w:sz w:val="21"/>
                <w:szCs w:val="21"/>
                <w:highlight w:val="none"/>
                <w:lang w:val="en-US" w:eastAsia="zh-CN"/>
              </w:rPr>
              <w:t>25</w:t>
            </w:r>
          </w:p>
        </w:tc>
        <w:tc>
          <w:tcPr>
            <w:tcW w:w="761"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rPr>
            </w:pPr>
            <w:r>
              <w:rPr>
                <w:rFonts w:hint="eastAsia" w:ascii="宋体" w:hAnsi="宋体" w:cs="宋体"/>
                <w:b/>
                <w:bCs/>
                <w:color w:val="000000"/>
                <w:kern w:val="0"/>
                <w:sz w:val="21"/>
                <w:szCs w:val="21"/>
                <w:highlight w:val="none"/>
                <w:lang w:val="en-US" w:eastAsia="zh-CN"/>
              </w:rPr>
              <w:t>1200</w:t>
            </w:r>
          </w:p>
        </w:tc>
        <w:tc>
          <w:tcPr>
            <w:tcW w:w="74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150</w:t>
            </w:r>
            <w:r>
              <w:rPr>
                <w:rFonts w:hint="eastAsia" w:ascii="宋体" w:hAnsi="宋体" w:cs="宋体"/>
                <w:b/>
                <w:bCs/>
                <w:color w:val="000000"/>
                <w:kern w:val="0"/>
                <w:sz w:val="21"/>
                <w:szCs w:val="21"/>
                <w:highlight w:val="none"/>
              </w:rPr>
              <w:t>　</w:t>
            </w:r>
          </w:p>
        </w:tc>
        <w:tc>
          <w:tcPr>
            <w:tcW w:w="75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1050</w:t>
            </w:r>
            <w:r>
              <w:rPr>
                <w:rFonts w:hint="eastAsia" w:ascii="宋体" w:hAnsi="宋体" w:cs="宋体"/>
                <w:b/>
                <w:bCs/>
                <w:color w:val="000000"/>
                <w:kern w:val="0"/>
                <w:sz w:val="21"/>
                <w:szCs w:val="21"/>
                <w:highlight w:val="none"/>
              </w:rPr>
              <w:t>　</w:t>
            </w:r>
          </w:p>
        </w:tc>
        <w:tc>
          <w:tcPr>
            <w:tcW w:w="374"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604"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509"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0</w:t>
            </w:r>
          </w:p>
        </w:tc>
        <w:tc>
          <w:tcPr>
            <w:tcW w:w="506"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0</w:t>
            </w:r>
            <w:r>
              <w:rPr>
                <w:rFonts w:hint="eastAsia" w:ascii="宋体" w:hAnsi="宋体" w:cs="宋体"/>
                <w:b/>
                <w:bCs/>
                <w:color w:val="000000"/>
                <w:kern w:val="0"/>
                <w:sz w:val="21"/>
                <w:szCs w:val="21"/>
                <w:highlight w:val="none"/>
              </w:rPr>
              <w:t>　</w:t>
            </w: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8</w:t>
            </w:r>
          </w:p>
        </w:tc>
        <w:tc>
          <w:tcPr>
            <w:tcW w:w="54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lang w:val="en-US" w:eastAsia="zh-CN"/>
              </w:rPr>
              <w:t>12</w:t>
            </w:r>
            <w:r>
              <w:rPr>
                <w:rFonts w:hint="eastAsia" w:ascii="宋体" w:hAnsi="宋体" w:cs="宋体"/>
                <w:b/>
                <w:bCs/>
                <w:color w:val="000000"/>
                <w:kern w:val="0"/>
                <w:sz w:val="21"/>
                <w:szCs w:val="21"/>
                <w:highlight w:val="none"/>
              </w:rPr>
              <w:t>　</w:t>
            </w:r>
          </w:p>
        </w:tc>
        <w:tc>
          <w:tcPr>
            <w:tcW w:w="510"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48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453"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b/>
                <w:bCs/>
                <w:color w:val="000000"/>
                <w:kern w:val="0"/>
                <w:sz w:val="21"/>
                <w:szCs w:val="21"/>
                <w:highlight w:val="none"/>
              </w:rPr>
              <w:t>　</w:t>
            </w:r>
          </w:p>
        </w:tc>
        <w:tc>
          <w:tcPr>
            <w:tcW w:w="695" w:type="dxa"/>
            <w:tcBorders>
              <w:top w:val="single" w:color="auto" w:sz="4" w:space="0"/>
              <w:left w:val="nil"/>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等线" w:hAnsi="等线" w:eastAsia="等线" w:cs="宋体"/>
                <w:b/>
                <w:bCs/>
                <w:color w:val="000000"/>
                <w:kern w:val="0"/>
                <w:sz w:val="21"/>
                <w:szCs w:val="21"/>
                <w:highlight w:val="none"/>
              </w:rPr>
              <w:t>　</w:t>
            </w:r>
          </w:p>
        </w:tc>
        <w:tc>
          <w:tcPr>
            <w:tcW w:w="608"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Arial" w:hAnsi="Arial" w:eastAsia="等线" w:cs="Arial"/>
                <w:color w:val="000000"/>
                <w:kern w:val="0"/>
                <w:sz w:val="22"/>
                <w:szCs w:val="22"/>
                <w:highlight w:val="none"/>
              </w:rPr>
            </w:pPr>
          </w:p>
        </w:tc>
      </w:tr>
      <w:tr>
        <w:tblPrEx>
          <w:tblCellMar>
            <w:top w:w="0" w:type="dxa"/>
            <w:left w:w="108" w:type="dxa"/>
            <w:bottom w:w="0" w:type="dxa"/>
            <w:right w:w="108" w:type="dxa"/>
          </w:tblCellMar>
        </w:tblPrEx>
        <w:trPr>
          <w:trHeight w:val="374" w:hRule="atLeast"/>
        </w:trPr>
        <w:tc>
          <w:tcPr>
            <w:tcW w:w="471"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eastAsia" w:ascii="宋体" w:hAnsi="宋体" w:cs="宋体" w:eastAsiaTheme="majorEastAsia"/>
                <w:color w:val="000000"/>
                <w:kern w:val="0"/>
                <w:sz w:val="22"/>
                <w:szCs w:val="22"/>
                <w:highlight w:val="none"/>
                <w:lang w:eastAsia="zh-CN"/>
              </w:rPr>
            </w:pPr>
            <w:r>
              <w:rPr>
                <w:rFonts w:hint="eastAsia" w:ascii="宋体" w:hAnsi="宋体" w:cs="宋体"/>
                <w:color w:val="000000"/>
                <w:kern w:val="0"/>
                <w:sz w:val="22"/>
                <w:szCs w:val="22"/>
                <w:highlight w:val="none"/>
                <w:shd w:val="clear"/>
                <w:lang w:eastAsia="zh-CN"/>
              </w:rPr>
              <w:t>专业选修课</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b/>
                <w:bCs/>
                <w:color w:val="000000"/>
                <w:kern w:val="0"/>
                <w:sz w:val="22"/>
                <w:szCs w:val="22"/>
                <w:highlight w:val="none"/>
              </w:rPr>
            </w:pPr>
          </w:p>
        </w:tc>
        <w:tc>
          <w:tcPr>
            <w:tcW w:w="223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导游技能</w:t>
            </w:r>
          </w:p>
        </w:tc>
        <w:tc>
          <w:tcPr>
            <w:tcW w:w="663"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r>
              <w:rPr>
                <w:rFonts w:hint="eastAsia" w:ascii="宋体" w:hAnsi="宋体" w:cs="宋体"/>
                <w:color w:val="000000"/>
                <w:kern w:val="0"/>
                <w:sz w:val="21"/>
                <w:szCs w:val="21"/>
                <w:highlight w:val="none"/>
                <w:lang w:val="en-US" w:eastAsia="zh-CN"/>
              </w:rPr>
              <w:t>5</w:t>
            </w:r>
          </w:p>
        </w:tc>
        <w:tc>
          <w:tcPr>
            <w:tcW w:w="761"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746"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759"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374"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604"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509"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506"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543"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543"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510"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485"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453"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695" w:type="dxa"/>
            <w:tcBorders>
              <w:top w:val="single" w:color="auto" w:sz="4" w:space="0"/>
              <w:left w:val="nil"/>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b/>
                <w:bCs/>
                <w:color w:val="000000"/>
                <w:kern w:val="0"/>
                <w:sz w:val="22"/>
                <w:szCs w:val="22"/>
                <w:highlight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b/>
                <w:bCs/>
                <w:color w:val="000000"/>
                <w:kern w:val="0"/>
                <w:sz w:val="22"/>
                <w:szCs w:val="22"/>
                <w:highlight w:val="none"/>
              </w:rPr>
            </w:pPr>
          </w:p>
        </w:tc>
        <w:tc>
          <w:tcPr>
            <w:tcW w:w="6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b/>
                <w:bCs/>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223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val="en-US" w:eastAsia="zh-CN"/>
              </w:rPr>
              <w:t>茶艺技能</w:t>
            </w:r>
          </w:p>
        </w:tc>
        <w:tc>
          <w:tcPr>
            <w:tcW w:w="66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宋体" w:hAnsi="宋体" w:cs="宋体"/>
                <w:color w:val="000000"/>
                <w:kern w:val="0"/>
                <w:sz w:val="21"/>
                <w:szCs w:val="21"/>
                <w:highlight w:val="none"/>
                <w:lang w:val="en-US" w:eastAsia="zh-CN"/>
              </w:rPr>
              <w:t>5</w:t>
            </w:r>
          </w:p>
        </w:tc>
        <w:tc>
          <w:tcPr>
            <w:tcW w:w="76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eastAsia="宋体" w:cs="宋体"/>
                <w:color w:val="000000"/>
                <w:kern w:val="0"/>
                <w:sz w:val="22"/>
                <w:szCs w:val="22"/>
                <w:highlight w:val="none"/>
                <w:lang w:val="en-US" w:eastAsia="zh-CN"/>
              </w:rPr>
            </w:pP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5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223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rPr>
              <w:t>酒水知识与调酒</w:t>
            </w:r>
          </w:p>
        </w:tc>
        <w:tc>
          <w:tcPr>
            <w:tcW w:w="66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default"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4</w:t>
            </w:r>
          </w:p>
        </w:tc>
        <w:tc>
          <w:tcPr>
            <w:tcW w:w="76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lang w:val="en-US" w:eastAsia="zh-CN"/>
              </w:rPr>
            </w:pPr>
          </w:p>
        </w:tc>
        <w:tc>
          <w:tcPr>
            <w:tcW w:w="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eastAsia="宋体" w:cs="宋体"/>
                <w:color w:val="000000"/>
                <w:kern w:val="0"/>
                <w:sz w:val="22"/>
                <w:szCs w:val="22"/>
                <w:highlight w:val="none"/>
                <w:lang w:val="en-US" w:eastAsia="zh-CN"/>
              </w:rPr>
            </w:pP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hint="eastAsia" w:ascii="宋体" w:hAnsi="宋体" w:cs="宋体"/>
                <w:color w:val="000000"/>
                <w:kern w:val="0"/>
                <w:sz w:val="21"/>
                <w:szCs w:val="21"/>
                <w:highlight w:val="none"/>
                <w:lang w:val="en-US" w:eastAsia="zh-CN"/>
              </w:rPr>
            </w:pPr>
          </w:p>
        </w:tc>
        <w:tc>
          <w:tcPr>
            <w:tcW w:w="37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5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71"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3368" w:type="dxa"/>
            <w:gridSpan w:val="2"/>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等线" w:hAnsi="等线" w:eastAsia="等线" w:cs="宋体"/>
                <w:b/>
                <w:bCs/>
                <w:color w:val="000000"/>
                <w:kern w:val="0"/>
                <w:sz w:val="21"/>
                <w:szCs w:val="21"/>
                <w:highlight w:val="none"/>
              </w:rPr>
              <w:t>小计</w:t>
            </w:r>
          </w:p>
        </w:tc>
        <w:tc>
          <w:tcPr>
            <w:tcW w:w="66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default" w:ascii="宋体" w:hAnsi="宋体" w:cs="宋体" w:eastAsiaTheme="majorEastAsia"/>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14</w:t>
            </w:r>
          </w:p>
        </w:tc>
        <w:tc>
          <w:tcPr>
            <w:tcW w:w="761"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4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759"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p>
        </w:tc>
        <w:tc>
          <w:tcPr>
            <w:tcW w:w="37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9"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4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4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85"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5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95"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r>
        <w:tblPrEx>
          <w:tblCellMar>
            <w:top w:w="0" w:type="dxa"/>
            <w:left w:w="108" w:type="dxa"/>
            <w:bottom w:w="0" w:type="dxa"/>
            <w:right w:w="108" w:type="dxa"/>
          </w:tblCellMar>
        </w:tblPrEx>
        <w:trPr>
          <w:trHeight w:val="280" w:hRule="atLeast"/>
        </w:trPr>
        <w:tc>
          <w:tcPr>
            <w:tcW w:w="4575" w:type="dxa"/>
            <w:gridSpan w:val="4"/>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等线" w:hAnsi="等线" w:eastAsia="等线" w:cs="宋体"/>
                <w:b/>
                <w:bCs/>
                <w:i/>
                <w:iCs/>
                <w:color w:val="000000"/>
                <w:kern w:val="0"/>
                <w:sz w:val="21"/>
                <w:szCs w:val="21"/>
                <w:highlight w:val="none"/>
              </w:rPr>
              <w:t>总计</w:t>
            </w:r>
          </w:p>
        </w:tc>
        <w:tc>
          <w:tcPr>
            <w:tcW w:w="66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宋体" w:hAnsi="宋体" w:cs="宋体"/>
                <w:color w:val="000000"/>
                <w:kern w:val="0"/>
                <w:sz w:val="22"/>
                <w:szCs w:val="22"/>
                <w:highlight w:val="none"/>
              </w:rPr>
            </w:pPr>
            <w:r>
              <w:rPr>
                <w:rFonts w:hint="eastAsia" w:ascii="等线" w:hAnsi="等线" w:eastAsia="等线" w:cs="宋体"/>
                <w:b/>
                <w:bCs/>
                <w:i/>
                <w:iCs/>
                <w:color w:val="000000"/>
                <w:kern w:val="0"/>
                <w:sz w:val="21"/>
                <w:szCs w:val="21"/>
                <w:highlight w:val="none"/>
              </w:rPr>
              <w:t>125</w:t>
            </w:r>
          </w:p>
        </w:tc>
        <w:tc>
          <w:tcPr>
            <w:tcW w:w="761"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等线" w:hAnsi="等线" w:eastAsia="等线" w:cs="宋体"/>
                <w:b/>
                <w:bCs/>
                <w:i/>
                <w:iCs/>
                <w:color w:val="000000"/>
                <w:kern w:val="0"/>
                <w:sz w:val="21"/>
                <w:szCs w:val="21"/>
                <w:highlight w:val="none"/>
                <w:lang w:val="en-US" w:eastAsia="zh-CN"/>
              </w:rPr>
              <w:t>2702</w:t>
            </w:r>
          </w:p>
        </w:tc>
        <w:tc>
          <w:tcPr>
            <w:tcW w:w="74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default" w:ascii="宋体" w:hAnsi="宋体" w:cs="宋体"/>
                <w:color w:val="000000"/>
                <w:kern w:val="0"/>
                <w:sz w:val="22"/>
                <w:szCs w:val="22"/>
                <w:highlight w:val="none"/>
                <w:lang w:val="en-US"/>
              </w:rPr>
            </w:pPr>
            <w:r>
              <w:rPr>
                <w:rFonts w:hint="eastAsia" w:ascii="等线" w:hAnsi="等线" w:eastAsia="等线" w:cs="宋体"/>
                <w:b/>
                <w:bCs/>
                <w:i/>
                <w:iCs/>
                <w:color w:val="000000"/>
                <w:kern w:val="0"/>
                <w:sz w:val="21"/>
                <w:szCs w:val="21"/>
                <w:highlight w:val="none"/>
                <w:lang w:val="en-US" w:eastAsia="zh-CN"/>
              </w:rPr>
              <w:t>1296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default" w:ascii="等线" w:hAnsi="等线" w:eastAsia="等线" w:cs="宋体"/>
                <w:b/>
                <w:bCs/>
                <w:i/>
                <w:iCs/>
                <w:color w:val="000000"/>
                <w:kern w:val="0"/>
                <w:sz w:val="21"/>
                <w:szCs w:val="21"/>
                <w:highlight w:val="none"/>
                <w:lang w:val="en-US" w:eastAsia="zh-CN"/>
              </w:rPr>
            </w:pPr>
            <w:r>
              <w:rPr>
                <w:rFonts w:hint="eastAsia" w:ascii="等线" w:hAnsi="等线" w:eastAsia="等线" w:cs="宋体"/>
                <w:b/>
                <w:bCs/>
                <w:i/>
                <w:iCs/>
                <w:color w:val="000000"/>
                <w:kern w:val="0"/>
                <w:sz w:val="21"/>
                <w:szCs w:val="21"/>
                <w:highlight w:val="none"/>
                <w:lang w:val="en-US" w:eastAsia="zh-CN"/>
              </w:rPr>
              <w:t>1400</w:t>
            </w:r>
          </w:p>
        </w:tc>
        <w:tc>
          <w:tcPr>
            <w:tcW w:w="37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eastAsia" w:ascii="等线" w:hAnsi="等线" w:eastAsia="等线" w:cs="宋体"/>
                <w:b/>
                <w:bCs/>
                <w:i/>
                <w:iCs/>
                <w:color w:val="000000"/>
                <w:kern w:val="0"/>
                <w:sz w:val="21"/>
                <w:szCs w:val="21"/>
                <w:highlight w:val="none"/>
                <w:lang w:val="en-US" w:eastAsia="zh-CN"/>
              </w:rPr>
            </w:pPr>
            <w:r>
              <w:rPr>
                <w:rFonts w:hint="eastAsia" w:ascii="等线" w:hAnsi="等线" w:eastAsia="等线" w:cs="宋体"/>
                <w:b/>
                <w:bCs/>
                <w:i/>
                <w:iCs/>
                <w:color w:val="000000"/>
                <w:kern w:val="0"/>
                <w:sz w:val="21"/>
                <w:szCs w:val="21"/>
                <w:highlight w:val="none"/>
                <w:lang w:val="en-US" w:eastAsia="zh-CN"/>
              </w:rPr>
              <w:t>6</w:t>
            </w:r>
          </w:p>
        </w:tc>
        <w:tc>
          <w:tcPr>
            <w:tcW w:w="604"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509"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b/>
                <w:bCs/>
                <w:i/>
                <w:iCs/>
                <w:color w:val="000000"/>
                <w:kern w:val="0"/>
                <w:sz w:val="21"/>
                <w:szCs w:val="21"/>
                <w:highlight w:val="none"/>
              </w:rPr>
              <w:t>2</w:t>
            </w:r>
            <w:r>
              <w:rPr>
                <w:rFonts w:hint="eastAsia" w:ascii="等线" w:hAnsi="等线" w:eastAsia="等线" w:cs="宋体"/>
                <w:b/>
                <w:bCs/>
                <w:i/>
                <w:iCs/>
                <w:color w:val="000000"/>
                <w:kern w:val="0"/>
                <w:sz w:val="21"/>
                <w:szCs w:val="21"/>
                <w:highlight w:val="none"/>
                <w:lang w:val="en-US" w:eastAsia="zh-CN"/>
              </w:rPr>
              <w:t>6</w:t>
            </w:r>
          </w:p>
        </w:tc>
        <w:tc>
          <w:tcPr>
            <w:tcW w:w="5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hint="eastAsia" w:ascii="等线" w:hAnsi="等线" w:eastAsia="等线" w:cs="宋体"/>
                <w:color w:val="000000"/>
                <w:kern w:val="0"/>
                <w:sz w:val="22"/>
                <w:szCs w:val="22"/>
                <w:highlight w:val="none"/>
                <w:lang w:eastAsia="zh-CN"/>
              </w:rPr>
            </w:pPr>
            <w:r>
              <w:rPr>
                <w:rFonts w:hint="eastAsia" w:ascii="等线" w:hAnsi="等线" w:eastAsia="等线" w:cs="宋体"/>
                <w:b/>
                <w:bCs/>
                <w:i/>
                <w:iCs/>
                <w:color w:val="000000"/>
                <w:kern w:val="0"/>
                <w:sz w:val="21"/>
                <w:szCs w:val="21"/>
                <w:highlight w:val="none"/>
              </w:rPr>
              <w:t>2</w:t>
            </w:r>
            <w:r>
              <w:rPr>
                <w:rFonts w:hint="eastAsia" w:ascii="等线" w:hAnsi="等线" w:eastAsia="等线" w:cs="宋体"/>
                <w:b/>
                <w:bCs/>
                <w:i/>
                <w:iCs/>
                <w:color w:val="000000"/>
                <w:kern w:val="0"/>
                <w:sz w:val="21"/>
                <w:szCs w:val="21"/>
                <w:highlight w:val="none"/>
                <w:lang w:val="en-US" w:eastAsia="zh-CN"/>
              </w:rPr>
              <w:t>4</w:t>
            </w:r>
          </w:p>
        </w:tc>
        <w:tc>
          <w:tcPr>
            <w:tcW w:w="54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b/>
                <w:bCs/>
                <w:i/>
                <w:iCs/>
                <w:color w:val="000000"/>
                <w:kern w:val="0"/>
                <w:sz w:val="21"/>
                <w:szCs w:val="21"/>
                <w:highlight w:val="none"/>
                <w:lang w:val="en-US" w:eastAsia="zh-CN"/>
              </w:rPr>
              <w:t>25</w:t>
            </w:r>
          </w:p>
        </w:tc>
        <w:tc>
          <w:tcPr>
            <w:tcW w:w="54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r>
              <w:rPr>
                <w:rFonts w:hint="eastAsia" w:ascii="等线" w:hAnsi="等线" w:eastAsia="等线" w:cs="宋体"/>
                <w:b/>
                <w:bCs/>
                <w:i/>
                <w:iCs/>
                <w:color w:val="000000"/>
                <w:kern w:val="0"/>
                <w:sz w:val="21"/>
                <w:szCs w:val="21"/>
                <w:highlight w:val="none"/>
                <w:lang w:val="en-US" w:eastAsia="zh-CN"/>
              </w:rPr>
              <w:t>25</w:t>
            </w:r>
          </w:p>
        </w:tc>
        <w:tc>
          <w:tcPr>
            <w:tcW w:w="510"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85"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453"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95"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8"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c>
          <w:tcPr>
            <w:tcW w:w="606" w:type="dxa"/>
            <w:tcBorders>
              <w:top w:val="single" w:color="auto" w:sz="4" w:space="0"/>
              <w:left w:val="single" w:color="auto" w:sz="4" w:space="0"/>
              <w:bottom w:val="single" w:color="auto" w:sz="4" w:space="0"/>
              <w:right w:val="single" w:color="auto" w:sz="4" w:space="0"/>
            </w:tcBorders>
            <w:noWrap w:val="0"/>
            <w:vAlign w:val="center"/>
          </w:tcPr>
          <w:p>
            <w:pPr>
              <w:shd w:val="clear"/>
              <w:ind w:firstLine="0" w:firstLineChars="0"/>
              <w:jc w:val="center"/>
              <w:rPr>
                <w:rFonts w:ascii="等线" w:hAnsi="等线" w:eastAsia="等线" w:cs="宋体"/>
                <w:color w:val="000000"/>
                <w:kern w:val="0"/>
                <w:sz w:val="22"/>
                <w:szCs w:val="22"/>
                <w:highlight w:val="none"/>
              </w:rPr>
            </w:pPr>
          </w:p>
        </w:tc>
      </w:tr>
    </w:tbl>
    <w:p>
      <w:pPr>
        <w:pStyle w:val="2"/>
        <w:shd w:val="clear"/>
        <w:spacing w:after="0" w:line="440" w:lineRule="exact"/>
        <w:ind w:firstLine="0" w:firstLineChars="0"/>
        <w:rPr>
          <w:rFonts w:ascii="黑体" w:hAnsi="黑体" w:eastAsia="黑体" w:cs="黑体"/>
          <w:color w:val="000000" w:themeColor="text1"/>
          <w:sz w:val="32"/>
          <w:szCs w:val="32"/>
          <w:highlight w:val="none"/>
          <w14:textFill>
            <w14:solidFill>
              <w14:schemeClr w14:val="tx1"/>
            </w14:solidFill>
          </w14:textFill>
        </w:rPr>
        <w:sectPr>
          <w:pgSz w:w="16838" w:h="11906" w:orient="landscape"/>
          <w:pgMar w:top="1797" w:right="1440" w:bottom="1797" w:left="1440" w:header="851" w:footer="992" w:gutter="0"/>
          <w:pgNumType w:fmt="numberInDash"/>
          <w:cols w:space="425" w:num="1"/>
          <w:docGrid w:type="linesAndChars" w:linePitch="312" w:charSpace="0"/>
        </w:sectPr>
      </w:pPr>
    </w:p>
    <w:p>
      <w:pPr>
        <w:ind w:firstLine="0"/>
        <w:jc w:val="left"/>
        <w:rPr>
          <w:rFonts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八、实施保障</w:t>
      </w:r>
    </w:p>
    <w:p>
      <w:pPr>
        <w:pStyle w:val="2"/>
        <w:spacing w:after="0" w:line="440" w:lineRule="exact"/>
        <w:ind w:firstLine="321"/>
        <w:rPr>
          <w:rFonts w:ascii="楷体" w:hAnsi="楷体" w:eastAsia="楷体" w:cs="楷体"/>
          <w:b/>
          <w:color w:val="000000" w:themeColor="text1"/>
          <w:kern w:val="0"/>
          <w:sz w:val="32"/>
          <w:szCs w:val="32"/>
          <w:lang w:bidi="ar"/>
          <w14:textFill>
            <w14:solidFill>
              <w14:schemeClr w14:val="tx1"/>
            </w14:solidFill>
          </w14:textFill>
        </w:rPr>
      </w:pPr>
      <w:r>
        <w:rPr>
          <w:rFonts w:hint="eastAsia" w:ascii="楷体" w:hAnsi="楷体" w:eastAsia="楷体" w:cs="楷体"/>
          <w:b/>
          <w:color w:val="000000" w:themeColor="text1"/>
          <w:kern w:val="0"/>
          <w:sz w:val="32"/>
          <w:szCs w:val="32"/>
          <w:lang w:bidi="ar"/>
          <w14:textFill>
            <w14:solidFill>
              <w14:schemeClr w14:val="tx1"/>
            </w14:solidFill>
          </w14:textFill>
        </w:rPr>
        <w:t>（一）师资队伍</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我院以提高教师师德水平和实践教学能力为重点，我院从教育教学的实际需要出发，利用国家实施“职业学校教师素质提高计划”的契机，本着“不求所有，但求所用”的原则，邀请有关专家和企业管理人员、专业技术人员到学校举办培训讲座，开展技术指导，开阔教师视野，跟进技术发展，密切与社会的联系。多渠道从社会上特别是企事业单位聘请在职、离职待岗或退休的专业技术人员、高技能人才，充实到教学一线，承担专业课或实习指导教学任务。</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任教要求：</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（1）教师任职资格：具有高校教师职业资格证书，具有本专业相关学科背景。</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2）专业带头人要求：一是具有较高的高职教育认知能力、专业发展方向把握能力、课程开发能力、教研教改能力和组织协调能力；能够带领专业建设团队重构旅游管理专业基于工作过程导向的课程体系、组织课程实施并推动专业课程改革。二是具有专业实践教学基地系统规划和建设能力，能够推动校内外实验实训基地建设，推进实践教学体系改革。三是具备较强的学术研究能力和较为丰富的企业实践经历，具备设计开发和项目实施能力，能够带领专业建设团队开展产学研合作和技术服务，推进本专业产教结合。</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（3）专任教师专业能力：具有旅游管理相关学科专业知识，旅游管理实践经历，熟悉旅游管理相关工作岗位要求，能够胜任旅游管理基础课或专业课的教学与科研工作。</w:t>
      </w:r>
    </w:p>
    <w:p>
      <w:pPr>
        <w:pStyle w:val="2"/>
        <w:spacing w:after="0" w:line="440" w:lineRule="exact"/>
        <w:ind w:firstLine="32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（二）教学设施</w:t>
      </w:r>
    </w:p>
    <w:tbl>
      <w:tblPr>
        <w:tblStyle w:val="16"/>
        <w:tblW w:w="853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98"/>
        <w:gridCol w:w="1610"/>
        <w:gridCol w:w="1376"/>
        <w:gridCol w:w="1850"/>
        <w:gridCol w:w="290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798"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tcPr>
          <w:p>
            <w:pPr>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序号</w:t>
            </w:r>
          </w:p>
        </w:tc>
        <w:tc>
          <w:tcPr>
            <w:tcW w:w="1610" w:type="dxa"/>
            <w:tcBorders>
              <w:top w:val="single" w:color="000000" w:sz="6" w:space="0"/>
              <w:left w:val="nil"/>
              <w:bottom w:val="single" w:color="000000" w:sz="6" w:space="0"/>
              <w:right w:val="single" w:color="000000" w:sz="6" w:space="0"/>
            </w:tcBorders>
            <w:tcMar>
              <w:top w:w="0" w:type="dxa"/>
              <w:left w:w="105" w:type="dxa"/>
              <w:bottom w:w="0" w:type="dxa"/>
              <w:right w:w="105" w:type="dxa"/>
            </w:tcMa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实训室名称</w:t>
            </w:r>
          </w:p>
        </w:tc>
        <w:tc>
          <w:tcPr>
            <w:tcW w:w="1376" w:type="dxa"/>
            <w:tcBorders>
              <w:top w:val="single" w:color="000000" w:sz="6" w:space="0"/>
              <w:left w:val="nil"/>
              <w:bottom w:val="single" w:color="000000" w:sz="6" w:space="0"/>
              <w:right w:val="single" w:color="000000" w:sz="6" w:space="0"/>
            </w:tcBorders>
            <w:tcMar>
              <w:top w:w="0" w:type="dxa"/>
              <w:left w:w="105" w:type="dxa"/>
              <w:bottom w:w="0" w:type="dxa"/>
              <w:right w:w="105" w:type="dxa"/>
            </w:tcMa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功能</w:t>
            </w:r>
          </w:p>
        </w:tc>
        <w:tc>
          <w:tcPr>
            <w:tcW w:w="1850" w:type="dxa"/>
            <w:tcBorders>
              <w:top w:val="single" w:color="000000" w:sz="6" w:space="0"/>
              <w:left w:val="nil"/>
              <w:bottom w:val="single" w:color="000000" w:sz="6" w:space="0"/>
              <w:right w:val="single" w:color="000000" w:sz="6" w:space="0"/>
            </w:tcBorders>
            <w:tcMar>
              <w:top w:w="0" w:type="dxa"/>
              <w:left w:w="105" w:type="dxa"/>
              <w:bottom w:w="0" w:type="dxa"/>
              <w:right w:w="105" w:type="dxa"/>
            </w:tcMa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实训课程</w:t>
            </w:r>
          </w:p>
        </w:tc>
        <w:tc>
          <w:tcPr>
            <w:tcW w:w="2900" w:type="dxa"/>
            <w:tcBorders>
              <w:top w:val="single" w:color="000000" w:sz="6" w:space="0"/>
              <w:left w:val="nil"/>
              <w:bottom w:val="single" w:color="000000" w:sz="6" w:space="0"/>
              <w:right w:val="single" w:color="000000" w:sz="6" w:space="0"/>
            </w:tcBorders>
            <w:tcMar>
              <w:top w:w="0" w:type="dxa"/>
              <w:left w:w="105" w:type="dxa"/>
              <w:bottom w:w="0" w:type="dxa"/>
              <w:right w:w="105" w:type="dxa"/>
            </w:tcMa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主要设备的配置要求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798"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pPr>
              <w:ind w:firstLine="0"/>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1</w:t>
            </w:r>
          </w:p>
        </w:tc>
        <w:tc>
          <w:tcPr>
            <w:tcW w:w="161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模拟导游实训室</w:t>
            </w:r>
          </w:p>
        </w:tc>
        <w:tc>
          <w:tcPr>
            <w:tcW w:w="1376"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导游实训</w:t>
            </w:r>
          </w:p>
        </w:tc>
        <w:tc>
          <w:tcPr>
            <w:tcW w:w="185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模拟导游</w:t>
            </w:r>
          </w:p>
        </w:tc>
        <w:tc>
          <w:tcPr>
            <w:tcW w:w="290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投影等相关硬件与相关软件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798"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pPr>
              <w:ind w:firstLine="0"/>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2</w:t>
            </w:r>
          </w:p>
        </w:tc>
        <w:tc>
          <w:tcPr>
            <w:tcW w:w="161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val="en-US" w:eastAsia="zh-CN" w:bidi="ar"/>
                <w14:textFill>
                  <w14:solidFill>
                    <w14:schemeClr w14:val="tx1"/>
                  </w14:solidFill>
                </w14:textFill>
              </w:rPr>
              <w:t>餐饮</w:t>
            </w:r>
            <w:r>
              <w:rPr>
                <w:rFonts w:hint="eastAsia" w:ascii="宋体" w:hAnsi="宋体" w:eastAsia="宋体" w:cs="宋体"/>
                <w:color w:val="000000" w:themeColor="text1"/>
                <w:kern w:val="0"/>
                <w:sz w:val="27"/>
                <w:szCs w:val="27"/>
                <w:lang w:bidi="ar"/>
                <w14:textFill>
                  <w14:solidFill>
                    <w14:schemeClr w14:val="tx1"/>
                  </w14:solidFill>
                </w14:textFill>
              </w:rPr>
              <w:t>实训室</w:t>
            </w:r>
          </w:p>
        </w:tc>
        <w:tc>
          <w:tcPr>
            <w:tcW w:w="1376"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val="en-US" w:eastAsia="zh-CN" w:bidi="ar"/>
                <w14:textFill>
                  <w14:solidFill>
                    <w14:schemeClr w14:val="tx1"/>
                  </w14:solidFill>
                </w14:textFill>
              </w:rPr>
              <w:t>餐饮</w:t>
            </w:r>
            <w:r>
              <w:rPr>
                <w:rFonts w:hint="eastAsia" w:ascii="宋体" w:hAnsi="宋体" w:eastAsia="宋体" w:cs="宋体"/>
                <w:color w:val="000000" w:themeColor="text1"/>
                <w:kern w:val="0"/>
                <w:sz w:val="27"/>
                <w:szCs w:val="27"/>
                <w:lang w:bidi="ar"/>
                <w14:textFill>
                  <w14:solidFill>
                    <w14:schemeClr w14:val="tx1"/>
                  </w14:solidFill>
                </w14:textFill>
              </w:rPr>
              <w:t>实训</w:t>
            </w:r>
          </w:p>
        </w:tc>
        <w:tc>
          <w:tcPr>
            <w:tcW w:w="185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val="en-US" w:eastAsia="zh-CN" w:bidi="ar"/>
                <w14:textFill>
                  <w14:solidFill>
                    <w14:schemeClr w14:val="tx1"/>
                  </w14:solidFill>
                </w14:textFill>
              </w:rPr>
              <w:t>餐饮</w:t>
            </w:r>
            <w:r>
              <w:rPr>
                <w:rFonts w:hint="eastAsia" w:ascii="宋体" w:hAnsi="宋体" w:eastAsia="宋体" w:cs="宋体"/>
                <w:color w:val="000000" w:themeColor="text1"/>
                <w:kern w:val="0"/>
                <w:sz w:val="27"/>
                <w:szCs w:val="27"/>
                <w:lang w:bidi="ar"/>
                <w14:textFill>
                  <w14:solidFill>
                    <w14:schemeClr w14:val="tx1"/>
                  </w14:solidFill>
                </w14:textFill>
              </w:rPr>
              <w:t>服务</w:t>
            </w:r>
          </w:p>
        </w:tc>
        <w:tc>
          <w:tcPr>
            <w:tcW w:w="290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hint="default" w:ascii="宋体" w:hAnsi="宋体" w:eastAsia="宋体" w:cs="宋体"/>
                <w:color w:val="000000" w:themeColor="text1"/>
                <w:kern w:val="0"/>
                <w:sz w:val="27"/>
                <w:szCs w:val="27"/>
                <w:lang w:val="en-US" w:eastAsia="zh-CN" w:bidi="ar"/>
                <w14:textFill>
                  <w14:solidFill>
                    <w14:schemeClr w14:val="tx1"/>
                  </w14:solidFill>
                </w14:textFill>
              </w:rPr>
            </w:pPr>
            <w:r>
              <w:rPr>
                <w:rFonts w:hint="eastAsia" w:ascii="宋体" w:hAnsi="宋体" w:eastAsia="宋体" w:cs="宋体"/>
                <w:color w:val="000000" w:themeColor="text1"/>
                <w:kern w:val="0"/>
                <w:sz w:val="27"/>
                <w:szCs w:val="27"/>
                <w:lang w:val="en-US" w:eastAsia="zh-CN" w:bidi="ar"/>
                <w14:textFill>
                  <w14:solidFill>
                    <w14:schemeClr w14:val="tx1"/>
                  </w14:solidFill>
                </w14:textFill>
              </w:rPr>
              <w:t>餐桌、台布、餐巾、托盘等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798" w:type="dxa"/>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pPr>
              <w:ind w:firstLine="0"/>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3</w:t>
            </w:r>
          </w:p>
        </w:tc>
        <w:tc>
          <w:tcPr>
            <w:tcW w:w="161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客房实训室</w:t>
            </w:r>
          </w:p>
        </w:tc>
        <w:tc>
          <w:tcPr>
            <w:tcW w:w="1376"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模拟客房</w:t>
            </w:r>
          </w:p>
        </w:tc>
        <w:tc>
          <w:tcPr>
            <w:tcW w:w="185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前厅客房服务</w:t>
            </w:r>
          </w:p>
        </w:tc>
        <w:tc>
          <w:tcPr>
            <w:tcW w:w="290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spacing w:line="440" w:lineRule="exact"/>
              <w:ind w:firstLine="0"/>
              <w:jc w:val="left"/>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酒店用床、床上用品等</w:t>
            </w:r>
          </w:p>
        </w:tc>
      </w:tr>
    </w:tbl>
    <w:p>
      <w:pPr>
        <w:pStyle w:val="2"/>
        <w:spacing w:after="0" w:line="440" w:lineRule="exact"/>
        <w:ind w:firstLine="32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（三）教学资源</w:t>
      </w:r>
    </w:p>
    <w:p>
      <w:pPr>
        <w:spacing w:line="440" w:lineRule="exact"/>
        <w:ind w:firstLine="560" w:firstLineChars="200"/>
        <w:jc w:val="left"/>
        <w:rPr>
          <w:rFonts w:ascii="宋体" w:hAnsi="宋体" w:eastAsia="宋体" w:cs="宋体"/>
          <w:color w:val="000000" w:themeColor="text1"/>
          <w:kern w:val="0"/>
          <w:lang w:bidi="ar"/>
          <w14:textFill>
            <w14:solidFill>
              <w14:schemeClr w14:val="tx1"/>
            </w14:solidFill>
          </w14:textFill>
        </w:rPr>
      </w:pPr>
      <w:r>
        <w:rPr>
          <w:rFonts w:hint="eastAsia" w:ascii="宋体" w:hAnsi="宋体" w:eastAsia="宋体" w:cs="宋体"/>
          <w:color w:val="000000" w:themeColor="text1"/>
          <w:kern w:val="0"/>
          <w:lang w:bidi="ar"/>
          <w14:textFill>
            <w14:solidFill>
              <w14:schemeClr w14:val="tx1"/>
            </w14:solidFill>
          </w14:textFill>
        </w:rPr>
        <w:t>“三个环境”即校内实训、校外实训和顶岗实习环境。校内实训环境主要是利用校内现有的教学资源进行实训。校内实训硬件条件主要有中餐实训室、前厅、客房等。校外实训环境设在校企合作办学的企业，通过在企业进行真实岗位实习，让学生充分了解企业的生产运营过程，校外实习有利于学生职业综合素质和能力的培养。顶岗实习环境是学生以正式员工的身份在国内外企业的具体岗位上参与具体生产、管理工作，积累工作经验，丰富人生阅历。顶岗实习促使学生职业综合素质和能力全面发展，更进一步完善和提高。</w:t>
      </w:r>
    </w:p>
    <w:p>
      <w:pPr>
        <w:pStyle w:val="2"/>
        <w:spacing w:after="0" w:line="440" w:lineRule="exact"/>
        <w:ind w:firstLine="32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（四）教学方法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授课应采用多媒体设备教学，综合应用引导教学法、演示/案例教学法，项目/任务教学法、讨论教学法、练习法、小组工作法，也可以结合网路课堂指导学生复习，力求教学做到一体化。</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通过以下四种教学方法，实现课堂与课外实践充分结合，极大提高教学的效率：</w:t>
      </w:r>
    </w:p>
    <w:p>
      <w:pPr>
        <w:pStyle w:val="13"/>
        <w:spacing w:after="0" w:line="440" w:lineRule="exact"/>
        <w:ind w:left="0" w:leftChars="0" w:firstLine="420" w:firstLineChars="15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（一）情境教学法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在教学过程中，教师有目的地引入或创建具有一定情绪色彩的、以形象为主体的生动具体的场景，以引起学生一定的态度体验，从而帮助学生理解教材，并使学生的心理机能得到发展的教学方法，情境教学法的核心在于激发学生的情感。</w:t>
      </w:r>
    </w:p>
    <w:p>
      <w:pPr>
        <w:pStyle w:val="13"/>
        <w:spacing w:after="0" w:line="440" w:lineRule="exact"/>
        <w:ind w:left="0" w:leftChars="0" w:firstLine="280" w:firstLineChars="1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（二）分组分享教学法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旨在班级授课的情况下，充分利用现有教学资源，按一定的规律将学生分成如干个学习小组，通过形式多样的分享活动，充分调动学生做学习的主人，从而使学生得到全面发展的一种教学方法。分组分享教学方法结合当代学生心理特点，立足实践教学实际，更近一步强调了学生的主体性、创造性、平等性和发展性，突出可操作性。</w:t>
      </w:r>
    </w:p>
    <w:p>
      <w:pPr>
        <w:pStyle w:val="13"/>
        <w:spacing w:after="0" w:line="440" w:lineRule="exact"/>
        <w:ind w:left="0" w:leftChars="0" w:firstLine="280" w:firstLineChars="1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（三）任务驱动教学法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旅游管理是一门实践性很强，具有明显时代发展特点的课程，不仅是简单的学习旅游管理应用知识，更主要的是培养学生解决问题的能力。旅游管理共分为五个学习情境，其中渗透了“任务驱动”的学习方式，鼓励学生动手操作，倡导学生主动探讨与交流。“任务驱动”的主要结构是：呈现任务—明确任务—完成任务—任务评价。在信息技术课中，体现“任务驱动”就是让学生在一个一个典型信息处理“任务”。在实践教学工作中，我们认为“任务驱动”教学法，能让学生“动”起来，进而乐于学习，主动学习，创造性的学习。</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在“任务驱动”教学法中，“任务”设计是关键。教师必须根据信息课的具体内容，精心设计一个个实际“任务”，让学生完成这些任务的过程中，掌握知识、方法和技能。</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1.“任务”要具体明确，具有可操作性。将教学总目标分成多个小的学习目标，并将学习模块再细化成如干戈容易掌握的具体任务，通过完成这小的任务来之中完成总体学习目标。</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2.“任务”要符合学生特点，“任务”的大小要适当。设计“任务”要从学生的实际出发，充分考虑学生现有的文化知识，认知能力，兴趣等特点，遵循由浅入深，由表及里，循序渐进的原则。</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3.坚持让学生独立完成“任务”。在完成过程中方式可以合作，协作。通过完成“任务”培养他们的动手能力和合作精神，提高他们解决实际困难的能力和素质。</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（四）项目教学法</w:t>
      </w:r>
    </w:p>
    <w:p>
      <w:pPr>
        <w:pStyle w:val="13"/>
        <w:spacing w:after="0" w:line="440" w:lineRule="exact"/>
        <w:ind w:left="0" w:leftChars="0" w:firstLine="560" w:firstLineChars="200"/>
        <w:rPr>
          <w:rFonts w:ascii="宋体" w:hAnsi="宋体" w:cs="宋体"/>
          <w:color w:val="000000" w:themeColor="text1"/>
          <w:kern w:val="0"/>
          <w:sz w:val="27"/>
          <w:szCs w:val="27"/>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充分利用校企合作的平台，通过项目实例教学深化课程实践，让学生在应用环境下获得更深的个性化体验和经验的积累。同时，利用专业后续课程让学生进一步熟悉并强化计算机应用能力。</w:t>
      </w:r>
    </w:p>
    <w:p>
      <w:pPr>
        <w:pStyle w:val="12"/>
        <w:spacing w:line="440" w:lineRule="exact"/>
        <w:ind w:firstLine="640" w:firstLineChars="200"/>
        <w:rPr>
          <w:rFonts w:ascii="楷体" w:hAnsi="楷体" w:eastAsia="楷体" w:cs="楷体"/>
          <w:color w:val="000000" w:themeColor="text1"/>
          <w:sz w:val="32"/>
          <w14:textFill>
            <w14:solidFill>
              <w14:schemeClr w14:val="tx1"/>
            </w14:solidFill>
          </w14:textFill>
        </w:rPr>
      </w:pPr>
      <w:r>
        <w:rPr>
          <w:rFonts w:hint="eastAsia" w:ascii="楷体" w:hAnsi="楷体" w:eastAsia="楷体" w:cs="楷体"/>
          <w:color w:val="000000" w:themeColor="text1"/>
          <w:sz w:val="32"/>
          <w14:textFill>
            <w14:solidFill>
              <w14:schemeClr w14:val="tx1"/>
            </w14:solidFill>
          </w14:textFill>
        </w:rPr>
        <w:t>（五）学习评价</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（一）学生成绩考核评价</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学生学业成绩考核，不仅是对学生学习成绩结果作出的评价，也是对照教学目标检查教学质量的信息反馈，并根据这些信息对教学质量进行分析、监控、研究改进教学工作的重要手段。</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1.成绩考核</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成绩考核分考试和考查两种。每学期考试和考查的课程门数按实施性教学计划规定执行。要根据课程的特点和学生的负担，每学期一般安排2~4门考试课程。</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考试是对学生所学知识和技能进行总结性考核的方法。可采用课堂理论考试，实验、实际操作、技能考评，大型作业，案例分析等多种方法进行。一般可分为期中、期末考试，由教务管理部门统一组织，安排在该课程结束后或学期末，集中一段时间复习和考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考试形式可用笔试、口试、实操三种。可根据课程的特点和需要，灵活采用，应坚持理论与实践的考核并重的原则。笔试又可分为闭卷考试和开卷考试。采用开卷考试的课程必须报教务管理部门批准方可实施。笔试时间一般为100分钟，口试的准备时间为40分钟，答题最多20分钟，实操考试时间视考试内容具体确定。</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考查是对学生所学知识和技能进行平时考核的方法。可依据平时课堂提问、课堂作业、实际操作、单元测试等方法采集学生学习成绩，考查不得在学期末及考试周的前一周内集中测验或变相考试。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2.命题管理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（1）考试命题要以教学大纲为依据，全面测量学生应具备的知识和能力。考试范围原则上是该课程本学期的全部内容。应注意覆盖面要广和突出教学重点，基础知识题、综合分析题、应用题比例恰当。</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2）命题先由教研组制定命题方案（或编制双向细目表），组卷试题应有一定的梯度，基本题、水平题、提高题结构合理，区分度强，题量适中，便于分辨学生成绩的优劣，考试成绩力求符合正态分布。已考过的试卷不宜未作修改又做下一次考卷。</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（3）用同一学期授课计划、教学内容和进度相同的班级采用同一试卷。</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每门课程应拟定水平、分量相当的两份试卷，并附有标准答案及评分标准。实行学分制管理的，可采用A、B制命题。实行分层教学管理的，应按分层教学大纲命题。</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（4）对教学大纲和教材较稳定的课程要逐步建立试题库（或试卷库），原则上要求实行教考分离。</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（5）无试题库的课程由教务管理部门或专业科（组）指定熟悉该课程的教师命题，经教研组长审核后于考前二周送教务管理部门统一管理。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（6）试卷在命题、审批、印刷、保存过程中，应严格保密，教师辅导学生复习不得以任何方式向学生透露或暗示题意，否则，按教学事故处理。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3.评卷与成绩评定</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（1）评卷要求</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①评卷工作由教务管理部门统一组织，集中评卷，尽可能采取流水阅卷方式。教师评卷要严肃、认真、公正，按评分标准给分，客观地评价学生的学习成绩。教务管理部门要按试卷评分标准抽检评卷质量。</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②任课教师按试卷成绩分析表的要求对命题质量、学生成绩进行认真分析，对考试方法、命题内容及教学工作提出书面意见和建议。</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③考试后三天内要结束阅卷评分工作，任课教师将所教班级的考试成绩和总评成绩表、学生成绩册、试卷及考试成绩分析送教务管理部门，同时提供考试不及格的学生名单。评阅后的试卷和学生成绩一经上报，任何人不得擅自更改。若须改动，应经教务管理部门负责人同意，会同教研组长和阅卷教师查阅试卷，提出理由被认定方可更改。</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（2）学生成绩评定办法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①考核成绩评定。考试采用百分制计分法，考查采用五级制计分法或学分制计分评定方法。百分制和五级制可以相互转换。</w:t>
      </w:r>
    </w:p>
    <w:tbl>
      <w:tblPr>
        <w:tblStyle w:val="1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280"/>
        <w:gridCol w:w="1280"/>
        <w:gridCol w:w="1350"/>
        <w:gridCol w:w="140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百分制</w:t>
            </w:r>
          </w:p>
        </w:tc>
        <w:tc>
          <w:tcPr>
            <w:tcW w:w="128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90~100</w:t>
            </w:r>
          </w:p>
        </w:tc>
        <w:tc>
          <w:tcPr>
            <w:tcW w:w="128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80~89</w:t>
            </w:r>
          </w:p>
        </w:tc>
        <w:tc>
          <w:tcPr>
            <w:tcW w:w="135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70~79</w:t>
            </w:r>
          </w:p>
        </w:tc>
        <w:tc>
          <w:tcPr>
            <w:tcW w:w="140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60~69</w:t>
            </w:r>
          </w:p>
        </w:tc>
        <w:tc>
          <w:tcPr>
            <w:tcW w:w="167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等级制</w:t>
            </w:r>
          </w:p>
        </w:tc>
        <w:tc>
          <w:tcPr>
            <w:tcW w:w="128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优秀</w:t>
            </w:r>
          </w:p>
        </w:tc>
        <w:tc>
          <w:tcPr>
            <w:tcW w:w="128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良好</w:t>
            </w:r>
          </w:p>
        </w:tc>
        <w:tc>
          <w:tcPr>
            <w:tcW w:w="135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中等</w:t>
            </w:r>
          </w:p>
        </w:tc>
        <w:tc>
          <w:tcPr>
            <w:tcW w:w="140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及格</w:t>
            </w:r>
          </w:p>
        </w:tc>
        <w:tc>
          <w:tcPr>
            <w:tcW w:w="167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等级转换成分数</w:t>
            </w:r>
          </w:p>
        </w:tc>
        <w:tc>
          <w:tcPr>
            <w:tcW w:w="128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95</w:t>
            </w:r>
          </w:p>
        </w:tc>
        <w:tc>
          <w:tcPr>
            <w:tcW w:w="128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85</w:t>
            </w:r>
          </w:p>
        </w:tc>
        <w:tc>
          <w:tcPr>
            <w:tcW w:w="135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75</w:t>
            </w:r>
          </w:p>
        </w:tc>
        <w:tc>
          <w:tcPr>
            <w:tcW w:w="140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65</w:t>
            </w:r>
          </w:p>
        </w:tc>
        <w:tc>
          <w:tcPr>
            <w:tcW w:w="1670" w:type="dxa"/>
            <w:vAlign w:val="center"/>
          </w:tcPr>
          <w:p>
            <w:pPr>
              <w:jc w:val="center"/>
              <w:rPr>
                <w:rFonts w:ascii="宋体" w:hAnsi="宋体" w:eastAsia="宋体" w:cs="宋体"/>
                <w:color w:val="000000" w:themeColor="text1"/>
                <w:kern w:val="0"/>
                <w:sz w:val="27"/>
                <w:szCs w:val="27"/>
                <w:lang w:bidi="ar"/>
                <w14:textFill>
                  <w14:solidFill>
                    <w14:schemeClr w14:val="tx1"/>
                  </w14:solidFill>
                </w14:textFill>
              </w:rPr>
            </w:pPr>
            <w:r>
              <w:rPr>
                <w:rFonts w:hint="eastAsia" w:ascii="宋体" w:hAnsi="宋体" w:eastAsia="宋体" w:cs="宋体"/>
                <w:color w:val="000000" w:themeColor="text1"/>
                <w:kern w:val="0"/>
                <w:sz w:val="27"/>
                <w:szCs w:val="27"/>
                <w:lang w:bidi="ar"/>
                <w14:textFill>
                  <w14:solidFill>
                    <w14:schemeClr w14:val="tx1"/>
                  </w14:solidFill>
                </w14:textFill>
              </w:rPr>
              <w:t>30</w:t>
            </w:r>
          </w:p>
        </w:tc>
      </w:tr>
    </w:tbl>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②考试课程的总评成绩，（无实验课）要以期末考试成绩为主，占总评成绩的60%，平时成绩占总评成绩的40%。</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③按教学计划和教学大纲规定，单列成绩的实践课（包括实验课、实训课、技能坚定、大型作业等）要单独进行考核。若以实验实训为主，但又非单列成绩的实验课成绩应占该课程总评成绩的60%。</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④跨学期、学年的课程，不论考试课或考查课，均按学年平均成绩统计。</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⑤考查课总评成绩要根据平时考核综合评定，因此，平时各种考核采集分数，每学期不少于三个。</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⑥体育课考查要从学生身体条件和体育基础的实际出发，对男女学生应有不同标准，对患有某种疾病而短期内不能治愈或有胜利缺陷的学生，经指定医院证明，教务管理部门批准可减免考查项目。</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⑦实习考查要以实习报告为主，结合实习记录、操作技能的掌握程度及表现，评定实习成绩。</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⑧凡符合下列情况之一者，该课程总评为零分：1.考试舞弊；2.旷考；3.一学期内欠交作业超过三分之一；4.一学期内该门课程无故缺课累计超过三分之一。</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⑨实行学分制管理，凡参加课程规定的考核，学期总评成绩在60分（或及格）以上，可获得相应课程的学分。学生学习成绩的质量可采用绩点分计算。</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（3）补考</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实行学分制的学校，对尚未取得已考课程学分或没有达到规定累计学分的学生，可按学分制管理的有关文件规定组织补考、安排重修或选修其他课程。</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未实行学分制的，必须严格执行学生补考制度，对某课程评定成绩不及格的学生，应按规定组织补考。</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1.教务管理部门组织安排学期正常补考：（下学期前二周内）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①学期考核评定成绩不及格者；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②因故缺考或缓考者。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2.毕业前最后一学期安排一次补考：</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①补考一次仍不及格但已升级者；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②旷考或舞弊但有悔改表现者；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③因“缺课”或“缺交作业”评零分，经审核获准补考者。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3.结业后一年内返校安排一次补考：</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①同一门课程补考二次扔不及格者；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②毕业考试（或毕业设计、毕业论文）不及格者。</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4.大型作业（课程设计）成绩不及格者，可在新学期开学前重做，开学后补交。</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5.实习（实践课）成绩不及格或因请假未参加实习者，尽可能安排在校期间的假期补考。</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6.考查课需要笔试进行补考者，由任课教师命题（附标准答案和评分标准），与本学期最后一周内报送教务管理部门批准使用。</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7.补考管理与期末考试要求相同，补考试卷由任课教师评卷，评定成绩报送教务管理部门。</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8.补考成绩登记：凡经准假缺考而补考的学生，可按正常考试成绩参加总评成绩登记；因其他原因补考的成绩，要注明“补考”字样，作为学期最终成绩。</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9.跨学期、跨学年的课程，平均成绩不及格者，补考工作按学年进行。</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（4）毕业考核</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毕业考核是根据专业培养目标进行的一种综合性教学考核和检查。学生结业方式一般有毕业考试、毕业设计或毕业论文。</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①毕业考试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教学计划规定不进行毕业设计（或毕业论文）的专业，一般应以毕业考试对学生多方面的成绩考核。它是一种综合本专业有关课程的理论知识和实践技能的考试，必须安排在毕业实习后进行。毕业考试方式，可以理论与实操结合，可以笔试，也可以口试。毕业考试不能用某门课程单一考试来代替。</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考试提路、标准答案及评分标准应由专业教研组组长和具有中级以上职称的本专业教师组成命题小组拟定，教务管理部门审核，报教学副校长批准实施。</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②毕业设计</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毕业设计一般是工科类专业学生结业方式。</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毕业设计是学生在毕业实习基础上，综合运用所学的知识和技能解决生产实际问题，在教师指导下完成的一次学习任务，须进行答辩。教师根据学生的独立完成任务书中所规定文件、图表、说明书的质量和答辩的质量评定成绩（或计算学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③毕业论文</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毕业论文一般是文科类专业学生结业方式。</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在教师的指导下，学生通过毕业实习，在对现场进行调查研究和搜集资料的基础上，综合运用所学的知识和技能，提出课题，撰写论文并进行答辩。教师根据毕业论文的论点、论证和结论及学生答辩的质量评定成绩（或计算学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若只进行毕业实习或综合训练的专业，实习结束后，学生必须根据实习大纲要求写出实习报告（含有关技术文件）交指导教师批阅。教师批阅要制定评分标准，评定成绩。若进行答辩，教师要根据学生答辩的质量和指导教师对实习报告的批语评定成绩（或计算学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毕业设计或论文、毕业实习或综合训练的实习报告、答辩成绩评定，一律采用五级计分法。</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毕业考核成绩均应单独列入学生成绩册。</w:t>
      </w:r>
    </w:p>
    <w:p>
      <w:pPr>
        <w:pStyle w:val="13"/>
        <w:numPr>
          <w:ilvl w:val="0"/>
          <w:numId w:val="21"/>
        </w:numPr>
        <w:spacing w:after="0" w:line="440" w:lineRule="exact"/>
        <w:ind w:left="0" w:leftChars="0" w:firstLine="640" w:firstLineChars="20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质量管理</w:t>
      </w:r>
    </w:p>
    <w:p>
      <w:pPr>
        <w:pStyle w:val="13"/>
        <w:spacing w:after="0" w:line="440" w:lineRule="exact"/>
        <w:ind w:left="0" w:leftChars="0" w:firstLine="560" w:firstLineChars="200"/>
        <w:rPr>
          <w:rFonts w:ascii="宋体" w:hAnsi="宋体" w:cs="宋体"/>
          <w:color w:val="000000" w:themeColor="text1"/>
          <w:kern w:val="0"/>
          <w:sz w:val="28"/>
          <w:szCs w:val="28"/>
          <w:lang w:bidi="ar"/>
          <w14:textFill>
            <w14:solidFill>
              <w14:schemeClr w14:val="tx1"/>
            </w14:solidFill>
          </w14:textFill>
        </w:rPr>
      </w:pPr>
      <w:r>
        <w:rPr>
          <w:rFonts w:hint="eastAsia" w:ascii="宋体" w:hAnsi="宋体" w:cs="宋体"/>
          <w:color w:val="000000" w:themeColor="text1"/>
          <w:kern w:val="0"/>
          <w:sz w:val="28"/>
          <w:szCs w:val="28"/>
          <w:lang w:bidi="ar"/>
          <w14:textFill>
            <w14:solidFill>
              <w14:schemeClr w14:val="tx1"/>
            </w14:solidFill>
          </w14:textFill>
        </w:rPr>
        <w:t>本专业采取学分制，分别由教学学分+素质学分+顶岗实习学分以及毕业论文（毕业设计）学分构成。学生在校期间必须取得 210 学分的毕业总学分，且取得各类学分的 80%方可毕业，其中素质学分应达到 60 学分以上、顶岗实习实习学分达到 40 学分。</w:t>
      </w:r>
    </w:p>
    <w:p>
      <w:pPr>
        <w:spacing w:before="20" w:after="20" w:line="440" w:lineRule="exact"/>
        <w:ind w:firstLine="0"/>
        <w:jc w:val="left"/>
        <w:outlineLvl w:val="0"/>
        <w:rPr>
          <w:rFonts w:eastAsia="黑体"/>
          <w:color w:val="000000" w:themeColor="text1"/>
          <w:sz w:val="32"/>
          <w:szCs w:val="32"/>
          <w14:textFill>
            <w14:solidFill>
              <w14:schemeClr w14:val="tx1"/>
            </w14:solidFill>
          </w14:textFill>
        </w:rPr>
      </w:pPr>
      <w:bookmarkStart w:id="3" w:name="_Toc31"/>
      <w:r>
        <w:rPr>
          <w:rFonts w:hint="eastAsia" w:eastAsia="黑体"/>
          <w:color w:val="000000" w:themeColor="text1"/>
          <w:sz w:val="32"/>
          <w:szCs w:val="32"/>
          <w14:textFill>
            <w14:solidFill>
              <w14:schemeClr w14:val="tx1"/>
            </w14:solidFill>
          </w14:textFill>
        </w:rPr>
        <w:t>九、毕业要求</w:t>
      </w:r>
      <w:bookmarkEnd w:id="3"/>
    </w:p>
    <w:p>
      <w:pPr>
        <w:spacing w:line="440" w:lineRule="exact"/>
        <w:ind w:firstLine="476" w:firstLineChars="170"/>
        <w:jc w:val="lef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kern w:val="0"/>
          <w:lang w:bidi="ar"/>
          <w14:textFill>
            <w14:solidFill>
              <w14:schemeClr w14:val="tx1"/>
            </w14:solidFill>
          </w14:textFill>
        </w:rPr>
        <w:t>（1）</w:t>
      </w:r>
      <w:r>
        <w:rPr>
          <w:rFonts w:hint="eastAsia" w:ascii="宋体" w:hAnsi="宋体" w:eastAsia="宋体" w:cs="宋体"/>
          <w:color w:val="000000" w:themeColor="text1"/>
          <w:kern w:val="0"/>
          <w:lang w:bidi="ar"/>
          <w14:textFill>
            <w14:solidFill>
              <w14:schemeClr w14:val="tx1"/>
            </w14:solidFill>
          </w14:textFill>
        </w:rPr>
        <w:t xml:space="preserve">课程学分为 125 分，素质教育学分为 75 分，顶岗实习学分为 50 分。学生在校期间必须取得 210 学分的毕业总学分，且取得各类学分的 80%方可毕业。其中毕业总学分高于各类学分 80%总和的学分（10分）可以从课程学分、素质教育学分、顶岗实习学分三类学分中任意获取。 </w:t>
      </w:r>
    </w:p>
    <w:p>
      <w:pPr>
        <w:pStyle w:val="2"/>
        <w:spacing w:line="440" w:lineRule="exact"/>
        <w:ind w:firstLine="280"/>
        <w:rPr>
          <w:color w:val="000000" w:themeColor="text1"/>
          <w14:textFill>
            <w14:solidFill>
              <w14:schemeClr w14:val="tx1"/>
            </w14:solidFill>
          </w14:textFill>
        </w:rPr>
        <w:sectPr>
          <w:pgSz w:w="11906" w:h="16838"/>
          <w:pgMar w:top="1440" w:right="1797" w:bottom="1440" w:left="1797" w:header="851" w:footer="992" w:gutter="0"/>
          <w:pgNumType w:fmt="numberInDash"/>
          <w:cols w:space="425" w:num="1"/>
          <w:docGrid w:type="linesAndChars" w:linePitch="312" w:charSpace="0"/>
        </w:sectPr>
      </w:pPr>
      <w:r>
        <w:rPr>
          <w:rFonts w:hint="eastAsia" w:ascii="宋体" w:hAnsi="宋体" w:eastAsia="宋体" w:cs="宋体"/>
          <w:color w:val="000000" w:themeColor="text1"/>
          <w14:textFill>
            <w14:solidFill>
              <w14:schemeClr w14:val="tx1"/>
            </w14:solidFill>
          </w14:textFill>
        </w:rPr>
        <w:t>（2）在校期间取得导游证/普通话二乙/小学教师资格证/其他资格从业证书职业技能等级证书。</w:t>
      </w:r>
    </w:p>
    <w:p>
      <w:pPr>
        <w:numPr>
          <w:ilvl w:val="0"/>
          <w:numId w:val="22"/>
        </w:numPr>
        <w:spacing w:before="20" w:after="20" w:line="440" w:lineRule="exact"/>
        <w:jc w:val="left"/>
        <w:outlineLvl w:val="0"/>
        <w:rPr>
          <w:rFonts w:eastAsia="黑体"/>
          <w:color w:val="000000" w:themeColor="text1"/>
          <w:sz w:val="32"/>
          <w:szCs w:val="32"/>
          <w14:textFill>
            <w14:solidFill>
              <w14:schemeClr w14:val="tx1"/>
            </w14:solidFill>
          </w14:textFill>
        </w:rPr>
      </w:pPr>
      <w:bookmarkStart w:id="4" w:name="_Toc18709"/>
      <w:r>
        <w:rPr>
          <w:rFonts w:hint="eastAsia" w:eastAsia="黑体"/>
          <w:color w:val="000000" w:themeColor="text1"/>
          <w:sz w:val="32"/>
          <w:szCs w:val="32"/>
          <w14:textFill>
            <w14:solidFill>
              <w14:schemeClr w14:val="tx1"/>
            </w14:solidFill>
          </w14:textFill>
        </w:rPr>
        <w:t>附录</w:t>
      </w:r>
      <w:bookmarkEnd w:id="4"/>
    </w:p>
    <w:p>
      <w:pPr>
        <w:pStyle w:val="2"/>
        <w:ind w:firstLine="0" w:firstLineChars="0"/>
        <w:rPr>
          <w:color w:val="000000" w:themeColor="text1"/>
          <w14:textFill>
            <w14:solidFill>
              <w14:schemeClr w14:val="tx1"/>
            </w14:solidFill>
          </w14:textFill>
        </w:rPr>
      </w:pPr>
    </w:p>
    <w:p>
      <w:pPr>
        <w:jc w:val="center"/>
        <w:rPr>
          <w:rFonts w:ascii="黑体" w:hAnsi="黑体" w:eastAsia="黑体"/>
          <w:color w:val="000000" w:themeColor="text1"/>
          <w:sz w:val="44"/>
          <w:szCs w:val="44"/>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教学计划变更审批表</w:t>
      </w:r>
    </w:p>
    <w:p>
      <w:pP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二级学院:                   专业年级：</w:t>
      </w:r>
    </w:p>
    <w:tbl>
      <w:tblPr>
        <w:tblStyle w:val="16"/>
        <w:tblW w:w="10256"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3686"/>
        <w:gridCol w:w="2410"/>
        <w:gridCol w:w="198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67" w:type="dxa"/>
            <w:vMerge w:val="restart"/>
            <w:vAlign w:val="center"/>
          </w:tcPr>
          <w:p>
            <w:pPr>
              <w:spacing w:line="32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原课程信息</w:t>
            </w:r>
          </w:p>
        </w:tc>
        <w:tc>
          <w:tcPr>
            <w:tcW w:w="3686"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原课程名称</w:t>
            </w:r>
          </w:p>
        </w:tc>
        <w:tc>
          <w:tcPr>
            <w:tcW w:w="2410"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原课程开课学期</w:t>
            </w:r>
          </w:p>
        </w:tc>
        <w:tc>
          <w:tcPr>
            <w:tcW w:w="1984"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原课程学时/学分</w:t>
            </w:r>
          </w:p>
        </w:tc>
        <w:tc>
          <w:tcPr>
            <w:tcW w:w="709"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467" w:type="dxa"/>
            <w:vMerge w:val="continue"/>
            <w:vAlign w:val="center"/>
          </w:tcPr>
          <w:p>
            <w:pPr>
              <w:jc w:val="center"/>
              <w:rPr>
                <w:color w:val="000000" w:themeColor="text1"/>
                <w:sz w:val="24"/>
                <w14:textFill>
                  <w14:solidFill>
                    <w14:schemeClr w14:val="tx1"/>
                  </w14:solidFill>
                </w14:textFill>
              </w:rPr>
            </w:pPr>
          </w:p>
        </w:tc>
        <w:tc>
          <w:tcPr>
            <w:tcW w:w="3686" w:type="dxa"/>
            <w:vAlign w:val="center"/>
          </w:tcPr>
          <w:p>
            <w:pPr>
              <w:jc w:val="center"/>
              <w:rPr>
                <w:color w:val="000000" w:themeColor="text1"/>
                <w:sz w:val="24"/>
                <w14:textFill>
                  <w14:solidFill>
                    <w14:schemeClr w14:val="tx1"/>
                  </w14:solidFill>
                </w14:textFill>
              </w:rPr>
            </w:pPr>
          </w:p>
        </w:tc>
        <w:tc>
          <w:tcPr>
            <w:tcW w:w="2410" w:type="dxa"/>
            <w:vAlign w:val="center"/>
          </w:tcPr>
          <w:p>
            <w:pPr>
              <w:jc w:val="center"/>
              <w:rPr>
                <w:color w:val="000000" w:themeColor="text1"/>
                <w:sz w:val="24"/>
                <w14:textFill>
                  <w14:solidFill>
                    <w14:schemeClr w14:val="tx1"/>
                  </w14:solidFill>
                </w14:textFill>
              </w:rPr>
            </w:pPr>
          </w:p>
        </w:tc>
        <w:tc>
          <w:tcPr>
            <w:tcW w:w="1984" w:type="dxa"/>
            <w:vAlign w:val="center"/>
          </w:tcPr>
          <w:p>
            <w:pPr>
              <w:jc w:val="center"/>
              <w:rPr>
                <w:color w:val="000000" w:themeColor="text1"/>
                <w:sz w:val="24"/>
                <w14:textFill>
                  <w14:solidFill>
                    <w14:schemeClr w14:val="tx1"/>
                  </w14:solidFill>
                </w14:textFill>
              </w:rPr>
            </w:pPr>
          </w:p>
        </w:tc>
        <w:tc>
          <w:tcPr>
            <w:tcW w:w="709" w:type="dxa"/>
            <w:vAlign w:val="center"/>
          </w:tcPr>
          <w:p>
            <w:pPr>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67" w:type="dxa"/>
            <w:vMerge w:val="continue"/>
            <w:vAlign w:val="center"/>
          </w:tcPr>
          <w:p>
            <w:pPr>
              <w:jc w:val="center"/>
              <w:rPr>
                <w:color w:val="000000" w:themeColor="text1"/>
                <w:sz w:val="24"/>
                <w14:textFill>
                  <w14:solidFill>
                    <w14:schemeClr w14:val="tx1"/>
                  </w14:solidFill>
                </w14:textFill>
              </w:rPr>
            </w:pPr>
          </w:p>
        </w:tc>
        <w:tc>
          <w:tcPr>
            <w:tcW w:w="3686" w:type="dxa"/>
            <w:vAlign w:val="center"/>
          </w:tcPr>
          <w:p>
            <w:pPr>
              <w:jc w:val="center"/>
              <w:rPr>
                <w:color w:val="000000" w:themeColor="text1"/>
                <w:sz w:val="24"/>
                <w14:textFill>
                  <w14:solidFill>
                    <w14:schemeClr w14:val="tx1"/>
                  </w14:solidFill>
                </w14:textFill>
              </w:rPr>
            </w:pPr>
          </w:p>
        </w:tc>
        <w:tc>
          <w:tcPr>
            <w:tcW w:w="2410" w:type="dxa"/>
            <w:vAlign w:val="center"/>
          </w:tcPr>
          <w:p>
            <w:pPr>
              <w:jc w:val="center"/>
              <w:rPr>
                <w:color w:val="000000" w:themeColor="text1"/>
                <w:sz w:val="24"/>
                <w14:textFill>
                  <w14:solidFill>
                    <w14:schemeClr w14:val="tx1"/>
                  </w14:solidFill>
                </w14:textFill>
              </w:rPr>
            </w:pPr>
          </w:p>
        </w:tc>
        <w:tc>
          <w:tcPr>
            <w:tcW w:w="1984" w:type="dxa"/>
            <w:vAlign w:val="center"/>
          </w:tcPr>
          <w:p>
            <w:pPr>
              <w:jc w:val="center"/>
              <w:rPr>
                <w:color w:val="000000" w:themeColor="text1"/>
                <w:sz w:val="24"/>
                <w14:textFill>
                  <w14:solidFill>
                    <w14:schemeClr w14:val="tx1"/>
                  </w14:solidFill>
                </w14:textFill>
              </w:rPr>
            </w:pPr>
          </w:p>
        </w:tc>
        <w:tc>
          <w:tcPr>
            <w:tcW w:w="709" w:type="dxa"/>
            <w:vAlign w:val="center"/>
          </w:tcPr>
          <w:p>
            <w:pPr>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67" w:type="dxa"/>
            <w:vMerge w:val="continue"/>
            <w:vAlign w:val="center"/>
          </w:tcPr>
          <w:p>
            <w:pPr>
              <w:jc w:val="center"/>
              <w:rPr>
                <w:color w:val="000000" w:themeColor="text1"/>
                <w:sz w:val="24"/>
                <w14:textFill>
                  <w14:solidFill>
                    <w14:schemeClr w14:val="tx1"/>
                  </w14:solidFill>
                </w14:textFill>
              </w:rPr>
            </w:pPr>
          </w:p>
        </w:tc>
        <w:tc>
          <w:tcPr>
            <w:tcW w:w="3686" w:type="dxa"/>
            <w:vAlign w:val="center"/>
          </w:tcPr>
          <w:p>
            <w:pPr>
              <w:jc w:val="center"/>
              <w:rPr>
                <w:color w:val="000000" w:themeColor="text1"/>
                <w:sz w:val="24"/>
                <w14:textFill>
                  <w14:solidFill>
                    <w14:schemeClr w14:val="tx1"/>
                  </w14:solidFill>
                </w14:textFill>
              </w:rPr>
            </w:pPr>
          </w:p>
        </w:tc>
        <w:tc>
          <w:tcPr>
            <w:tcW w:w="2410" w:type="dxa"/>
            <w:vAlign w:val="center"/>
          </w:tcPr>
          <w:p>
            <w:pPr>
              <w:jc w:val="center"/>
              <w:rPr>
                <w:color w:val="000000" w:themeColor="text1"/>
                <w:sz w:val="24"/>
                <w14:textFill>
                  <w14:solidFill>
                    <w14:schemeClr w14:val="tx1"/>
                  </w14:solidFill>
                </w14:textFill>
              </w:rPr>
            </w:pPr>
          </w:p>
        </w:tc>
        <w:tc>
          <w:tcPr>
            <w:tcW w:w="1984" w:type="dxa"/>
            <w:vAlign w:val="center"/>
          </w:tcPr>
          <w:p>
            <w:pPr>
              <w:jc w:val="center"/>
              <w:rPr>
                <w:color w:val="000000" w:themeColor="text1"/>
                <w:sz w:val="24"/>
                <w14:textFill>
                  <w14:solidFill>
                    <w14:schemeClr w14:val="tx1"/>
                  </w14:solidFill>
                </w14:textFill>
              </w:rPr>
            </w:pPr>
          </w:p>
        </w:tc>
        <w:tc>
          <w:tcPr>
            <w:tcW w:w="709" w:type="dxa"/>
            <w:vAlign w:val="center"/>
          </w:tcPr>
          <w:p>
            <w:pPr>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restart"/>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变更课程信息</w:t>
            </w:r>
          </w:p>
        </w:tc>
        <w:tc>
          <w:tcPr>
            <w:tcW w:w="3686" w:type="dxa"/>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变更后课程名称</w:t>
            </w:r>
          </w:p>
        </w:tc>
        <w:tc>
          <w:tcPr>
            <w:tcW w:w="2410" w:type="dxa"/>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变更后课程开课学期</w:t>
            </w:r>
          </w:p>
        </w:tc>
        <w:tc>
          <w:tcPr>
            <w:tcW w:w="1984" w:type="dxa"/>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变更后课程学时/学分</w:t>
            </w:r>
          </w:p>
        </w:tc>
        <w:tc>
          <w:tcPr>
            <w:tcW w:w="709" w:type="dxa"/>
            <w:vAlign w:val="center"/>
          </w:tcPr>
          <w:p>
            <w:pPr>
              <w:spacing w:line="3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continue"/>
            <w:vAlign w:val="center"/>
          </w:tcPr>
          <w:p>
            <w:pPr>
              <w:spacing w:line="300" w:lineRule="exact"/>
              <w:jc w:val="center"/>
              <w:rPr>
                <w:color w:val="000000" w:themeColor="text1"/>
                <w:sz w:val="24"/>
                <w14:textFill>
                  <w14:solidFill>
                    <w14:schemeClr w14:val="tx1"/>
                  </w14:solidFill>
                </w14:textFill>
              </w:rPr>
            </w:pPr>
          </w:p>
        </w:tc>
        <w:tc>
          <w:tcPr>
            <w:tcW w:w="3686" w:type="dxa"/>
            <w:vAlign w:val="center"/>
          </w:tcPr>
          <w:p>
            <w:pPr>
              <w:spacing w:line="300" w:lineRule="exact"/>
              <w:jc w:val="center"/>
              <w:rPr>
                <w:color w:val="000000" w:themeColor="text1"/>
                <w:sz w:val="24"/>
                <w14:textFill>
                  <w14:solidFill>
                    <w14:schemeClr w14:val="tx1"/>
                  </w14:solidFill>
                </w14:textFill>
              </w:rPr>
            </w:pPr>
          </w:p>
        </w:tc>
        <w:tc>
          <w:tcPr>
            <w:tcW w:w="2410" w:type="dxa"/>
            <w:vAlign w:val="center"/>
          </w:tcPr>
          <w:p>
            <w:pPr>
              <w:spacing w:line="300" w:lineRule="exact"/>
              <w:jc w:val="center"/>
              <w:rPr>
                <w:color w:val="000000" w:themeColor="text1"/>
                <w:sz w:val="24"/>
                <w14:textFill>
                  <w14:solidFill>
                    <w14:schemeClr w14:val="tx1"/>
                  </w14:solidFill>
                </w14:textFill>
              </w:rPr>
            </w:pPr>
          </w:p>
        </w:tc>
        <w:tc>
          <w:tcPr>
            <w:tcW w:w="1984" w:type="dxa"/>
            <w:vAlign w:val="center"/>
          </w:tcPr>
          <w:p>
            <w:pPr>
              <w:spacing w:line="300" w:lineRule="exact"/>
              <w:jc w:val="center"/>
              <w:rPr>
                <w:color w:val="000000" w:themeColor="text1"/>
                <w:sz w:val="24"/>
                <w14:textFill>
                  <w14:solidFill>
                    <w14:schemeClr w14:val="tx1"/>
                  </w14:solidFill>
                </w14:textFill>
              </w:rPr>
            </w:pPr>
          </w:p>
        </w:tc>
        <w:tc>
          <w:tcPr>
            <w:tcW w:w="709" w:type="dxa"/>
            <w:vAlign w:val="center"/>
          </w:tcPr>
          <w:p>
            <w:pPr>
              <w:spacing w:line="3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67" w:type="dxa"/>
            <w:vMerge w:val="continue"/>
            <w:vAlign w:val="center"/>
          </w:tcPr>
          <w:p>
            <w:pPr>
              <w:spacing w:line="300" w:lineRule="exact"/>
              <w:jc w:val="center"/>
              <w:rPr>
                <w:color w:val="000000" w:themeColor="text1"/>
                <w:sz w:val="24"/>
                <w14:textFill>
                  <w14:solidFill>
                    <w14:schemeClr w14:val="tx1"/>
                  </w14:solidFill>
                </w14:textFill>
              </w:rPr>
            </w:pPr>
          </w:p>
        </w:tc>
        <w:tc>
          <w:tcPr>
            <w:tcW w:w="3686" w:type="dxa"/>
            <w:vAlign w:val="center"/>
          </w:tcPr>
          <w:p>
            <w:pPr>
              <w:spacing w:line="300" w:lineRule="exact"/>
              <w:jc w:val="center"/>
              <w:rPr>
                <w:color w:val="000000" w:themeColor="text1"/>
                <w:sz w:val="24"/>
                <w14:textFill>
                  <w14:solidFill>
                    <w14:schemeClr w14:val="tx1"/>
                  </w14:solidFill>
                </w14:textFill>
              </w:rPr>
            </w:pPr>
          </w:p>
        </w:tc>
        <w:tc>
          <w:tcPr>
            <w:tcW w:w="2410" w:type="dxa"/>
            <w:vAlign w:val="center"/>
          </w:tcPr>
          <w:p>
            <w:pPr>
              <w:spacing w:line="300" w:lineRule="exact"/>
              <w:jc w:val="center"/>
              <w:rPr>
                <w:color w:val="000000" w:themeColor="text1"/>
                <w:sz w:val="24"/>
                <w14:textFill>
                  <w14:solidFill>
                    <w14:schemeClr w14:val="tx1"/>
                  </w14:solidFill>
                </w14:textFill>
              </w:rPr>
            </w:pPr>
          </w:p>
        </w:tc>
        <w:tc>
          <w:tcPr>
            <w:tcW w:w="1984" w:type="dxa"/>
            <w:vAlign w:val="center"/>
          </w:tcPr>
          <w:p>
            <w:pPr>
              <w:spacing w:line="300" w:lineRule="exact"/>
              <w:jc w:val="center"/>
              <w:rPr>
                <w:color w:val="000000" w:themeColor="text1"/>
                <w:sz w:val="24"/>
                <w14:textFill>
                  <w14:solidFill>
                    <w14:schemeClr w14:val="tx1"/>
                  </w14:solidFill>
                </w14:textFill>
              </w:rPr>
            </w:pPr>
          </w:p>
        </w:tc>
        <w:tc>
          <w:tcPr>
            <w:tcW w:w="709" w:type="dxa"/>
            <w:vAlign w:val="center"/>
          </w:tcPr>
          <w:p>
            <w:pPr>
              <w:spacing w:line="3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67" w:type="dxa"/>
            <w:vMerge w:val="continue"/>
            <w:vAlign w:val="center"/>
          </w:tcPr>
          <w:p>
            <w:pPr>
              <w:spacing w:line="300" w:lineRule="exact"/>
              <w:jc w:val="center"/>
              <w:rPr>
                <w:color w:val="000000" w:themeColor="text1"/>
                <w:sz w:val="24"/>
                <w14:textFill>
                  <w14:solidFill>
                    <w14:schemeClr w14:val="tx1"/>
                  </w14:solidFill>
                </w14:textFill>
              </w:rPr>
            </w:pPr>
          </w:p>
        </w:tc>
        <w:tc>
          <w:tcPr>
            <w:tcW w:w="3686" w:type="dxa"/>
            <w:vAlign w:val="center"/>
          </w:tcPr>
          <w:p>
            <w:pPr>
              <w:spacing w:line="300" w:lineRule="exact"/>
              <w:jc w:val="center"/>
              <w:rPr>
                <w:color w:val="000000" w:themeColor="text1"/>
                <w:sz w:val="24"/>
                <w14:textFill>
                  <w14:solidFill>
                    <w14:schemeClr w14:val="tx1"/>
                  </w14:solidFill>
                </w14:textFill>
              </w:rPr>
            </w:pPr>
          </w:p>
        </w:tc>
        <w:tc>
          <w:tcPr>
            <w:tcW w:w="2410" w:type="dxa"/>
            <w:vAlign w:val="center"/>
          </w:tcPr>
          <w:p>
            <w:pPr>
              <w:spacing w:line="300" w:lineRule="exact"/>
              <w:jc w:val="center"/>
              <w:rPr>
                <w:color w:val="000000" w:themeColor="text1"/>
                <w:sz w:val="24"/>
                <w14:textFill>
                  <w14:solidFill>
                    <w14:schemeClr w14:val="tx1"/>
                  </w14:solidFill>
                </w14:textFill>
              </w:rPr>
            </w:pPr>
          </w:p>
        </w:tc>
        <w:tc>
          <w:tcPr>
            <w:tcW w:w="1984" w:type="dxa"/>
            <w:vAlign w:val="center"/>
          </w:tcPr>
          <w:p>
            <w:pPr>
              <w:spacing w:line="300" w:lineRule="exact"/>
              <w:jc w:val="center"/>
              <w:rPr>
                <w:color w:val="000000" w:themeColor="text1"/>
                <w:sz w:val="24"/>
                <w14:textFill>
                  <w14:solidFill>
                    <w14:schemeClr w14:val="tx1"/>
                  </w14:solidFill>
                </w14:textFill>
              </w:rPr>
            </w:pPr>
          </w:p>
        </w:tc>
        <w:tc>
          <w:tcPr>
            <w:tcW w:w="709" w:type="dxa"/>
            <w:vAlign w:val="center"/>
          </w:tcPr>
          <w:p>
            <w:pPr>
              <w:spacing w:line="3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67" w:type="dxa"/>
          </w:tcPr>
          <w:p>
            <w:pPr>
              <w:spacing w:line="3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此方案开始执行时间</w:t>
            </w:r>
          </w:p>
        </w:tc>
        <w:tc>
          <w:tcPr>
            <w:tcW w:w="8789" w:type="dxa"/>
            <w:gridSpan w:val="4"/>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变更后课程从________年______月______级的___________专业开始执行。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7" w:hRule="atLeast"/>
        </w:trPr>
        <w:tc>
          <w:tcPr>
            <w:tcW w:w="1467" w:type="dxa"/>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变更课程的理由</w:t>
            </w:r>
          </w:p>
        </w:tc>
        <w:tc>
          <w:tcPr>
            <w:tcW w:w="8789" w:type="dxa"/>
            <w:gridSpan w:val="4"/>
          </w:tcPr>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p>
          <w:p>
            <w:pPr>
              <w:spacing w:line="300" w:lineRule="exact"/>
              <w:ind w:firstLine="2280" w:firstLineChars="9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变更课程所属教研室主任签字：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4" w:hRule="atLeast"/>
        </w:trPr>
        <w:tc>
          <w:tcPr>
            <w:tcW w:w="1467" w:type="dxa"/>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二级学院领导意见</w:t>
            </w:r>
          </w:p>
        </w:tc>
        <w:tc>
          <w:tcPr>
            <w:tcW w:w="8789" w:type="dxa"/>
            <w:gridSpan w:val="4"/>
          </w:tcPr>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p>
          <w:p>
            <w:pPr>
              <w:spacing w:line="300" w:lineRule="exact"/>
              <w:ind w:firstLine="3360" w:firstLineChars="14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467" w:type="dxa"/>
            <w:vAlign w:val="center"/>
          </w:tcPr>
          <w:p>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教务处意见</w:t>
            </w:r>
          </w:p>
        </w:tc>
        <w:tc>
          <w:tcPr>
            <w:tcW w:w="8789" w:type="dxa"/>
            <w:gridSpan w:val="4"/>
          </w:tcPr>
          <w:p>
            <w:pPr>
              <w:spacing w:line="300" w:lineRule="exact"/>
              <w:rPr>
                <w:color w:val="000000" w:themeColor="text1"/>
                <w:sz w:val="24"/>
                <w14:textFill>
                  <w14:solidFill>
                    <w14:schemeClr w14:val="tx1"/>
                  </w14:solidFill>
                </w14:textFill>
              </w:rPr>
            </w:pPr>
          </w:p>
          <w:p>
            <w:pPr>
              <w:spacing w:line="3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p>
          <w:p>
            <w:pPr>
              <w:spacing w:line="300" w:lineRule="exact"/>
              <w:ind w:firstLine="4080" w:firstLineChars="17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负责人签字：            年 月  日</w:t>
            </w:r>
          </w:p>
        </w:tc>
      </w:tr>
    </w:tbl>
    <w:p>
      <w:pPr>
        <w:ind w:left="-944" w:leftChars="-337"/>
        <w:jc w:val="left"/>
        <w:rPr>
          <w:rFonts w:ascii="宋体" w:hAnsi="宋体"/>
          <w:color w:val="000000" w:themeColor="text1"/>
          <w:sz w:val="24"/>
          <w14:textFill>
            <w14:solidFill>
              <w14:schemeClr w14:val="tx1"/>
            </w14:solidFill>
          </w14:textFill>
        </w:rPr>
      </w:pPr>
      <w:r>
        <w:rPr>
          <w:rFonts w:hint="eastAsia"/>
          <w:color w:val="000000" w:themeColor="text1"/>
          <w:szCs w:val="21"/>
          <w14:textFill>
            <w14:solidFill>
              <w14:schemeClr w14:val="tx1"/>
            </w14:solidFill>
          </w14:textFill>
        </w:rPr>
        <w:t>备注：此表一式三份，二级学院存档，教务处存档。新增课程只需填写变更后课程信息，备注一栏填写“</w:t>
      </w:r>
      <w:r>
        <w:rPr>
          <w:rFonts w:hint="eastAsia"/>
          <w:b/>
          <w:color w:val="000000" w:themeColor="text1"/>
          <w:szCs w:val="21"/>
          <w14:textFill>
            <w14:solidFill>
              <w14:schemeClr w14:val="tx1"/>
            </w14:solidFill>
          </w14:textFill>
        </w:rPr>
        <w:t>新增</w:t>
      </w:r>
      <w:r>
        <w:rPr>
          <w:rFonts w:hint="eastAsia"/>
          <w:color w:val="000000" w:themeColor="text1"/>
          <w:szCs w:val="21"/>
          <w14:textFill>
            <w14:solidFill>
              <w14:schemeClr w14:val="tx1"/>
            </w14:solidFill>
          </w14:textFill>
        </w:rPr>
        <w:t>”，删减课程备注一栏填写“</w:t>
      </w:r>
      <w:r>
        <w:rPr>
          <w:rFonts w:hint="eastAsia"/>
          <w:b/>
          <w:color w:val="000000" w:themeColor="text1"/>
          <w:szCs w:val="21"/>
          <w14:textFill>
            <w14:solidFill>
              <w14:schemeClr w14:val="tx1"/>
            </w14:solidFill>
          </w14:textFill>
        </w:rPr>
        <w:t>删减</w:t>
      </w:r>
      <w:r>
        <w:rPr>
          <w:rFonts w:hint="eastAsia"/>
          <w:color w:val="000000" w:themeColor="text1"/>
          <w:szCs w:val="21"/>
          <w14:textFill>
            <w14:solidFill>
              <w14:schemeClr w14:val="tx1"/>
            </w14:solidFill>
          </w14:textFill>
        </w:rPr>
        <w:t>”。</w:t>
      </w:r>
    </w:p>
    <w:sectPr>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宋体-简">
    <w:altName w:val="宋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eastAsia="宋体"/>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pStyle w:val="9"/>
                      <w:rPr>
                        <w:rFonts w:eastAsia="宋体"/>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AA9CB6"/>
    <w:multiLevelType w:val="singleLevel"/>
    <w:tmpl w:val="80AA9CB6"/>
    <w:lvl w:ilvl="0" w:tentative="0">
      <w:start w:val="1"/>
      <w:numFmt w:val="decimal"/>
      <w:suff w:val="nothing"/>
      <w:lvlText w:val="%1、"/>
      <w:lvlJc w:val="left"/>
    </w:lvl>
  </w:abstractNum>
  <w:abstractNum w:abstractNumId="1">
    <w:nsid w:val="8541480E"/>
    <w:multiLevelType w:val="singleLevel"/>
    <w:tmpl w:val="8541480E"/>
    <w:lvl w:ilvl="0" w:tentative="0">
      <w:start w:val="1"/>
      <w:numFmt w:val="decimal"/>
      <w:lvlText w:val="%1."/>
      <w:lvlJc w:val="left"/>
      <w:pPr>
        <w:tabs>
          <w:tab w:val="left" w:pos="312"/>
        </w:tabs>
      </w:pPr>
    </w:lvl>
  </w:abstractNum>
  <w:abstractNum w:abstractNumId="2">
    <w:nsid w:val="958FF260"/>
    <w:multiLevelType w:val="singleLevel"/>
    <w:tmpl w:val="958FF260"/>
    <w:lvl w:ilvl="0" w:tentative="0">
      <w:start w:val="1"/>
      <w:numFmt w:val="decimal"/>
      <w:lvlText w:val="(%1)"/>
      <w:lvlJc w:val="left"/>
      <w:pPr>
        <w:tabs>
          <w:tab w:val="left" w:pos="312"/>
        </w:tabs>
        <w:ind w:left="642" w:firstLine="0"/>
      </w:pPr>
    </w:lvl>
  </w:abstractNum>
  <w:abstractNum w:abstractNumId="3">
    <w:nsid w:val="A3C41E06"/>
    <w:multiLevelType w:val="singleLevel"/>
    <w:tmpl w:val="A3C41E06"/>
    <w:lvl w:ilvl="0" w:tentative="0">
      <w:start w:val="1"/>
      <w:numFmt w:val="decimal"/>
      <w:suff w:val="nothing"/>
      <w:lvlText w:val="%1、"/>
      <w:lvlJc w:val="left"/>
    </w:lvl>
  </w:abstractNum>
  <w:abstractNum w:abstractNumId="4">
    <w:nsid w:val="B4B4E504"/>
    <w:multiLevelType w:val="singleLevel"/>
    <w:tmpl w:val="B4B4E504"/>
    <w:lvl w:ilvl="0" w:tentative="0">
      <w:start w:val="1"/>
      <w:numFmt w:val="decimal"/>
      <w:suff w:val="nothing"/>
      <w:lvlText w:val="%1、"/>
      <w:lvlJc w:val="left"/>
    </w:lvl>
  </w:abstractNum>
  <w:abstractNum w:abstractNumId="5">
    <w:nsid w:val="BC417177"/>
    <w:multiLevelType w:val="singleLevel"/>
    <w:tmpl w:val="BC417177"/>
    <w:lvl w:ilvl="0" w:tentative="0">
      <w:start w:val="6"/>
      <w:numFmt w:val="chineseCounting"/>
      <w:suff w:val="nothing"/>
      <w:lvlText w:val="（%1）"/>
      <w:lvlJc w:val="left"/>
      <w:rPr>
        <w:rFonts w:hint="eastAsia"/>
      </w:rPr>
    </w:lvl>
  </w:abstractNum>
  <w:abstractNum w:abstractNumId="6">
    <w:nsid w:val="CDB109F5"/>
    <w:multiLevelType w:val="singleLevel"/>
    <w:tmpl w:val="CDB109F5"/>
    <w:lvl w:ilvl="0" w:tentative="0">
      <w:start w:val="1"/>
      <w:numFmt w:val="decimal"/>
      <w:suff w:val="nothing"/>
      <w:lvlText w:val="%1、"/>
      <w:lvlJc w:val="left"/>
    </w:lvl>
  </w:abstractNum>
  <w:abstractNum w:abstractNumId="7">
    <w:nsid w:val="D9FB8E07"/>
    <w:multiLevelType w:val="singleLevel"/>
    <w:tmpl w:val="D9FB8E07"/>
    <w:lvl w:ilvl="0" w:tentative="0">
      <w:start w:val="1"/>
      <w:numFmt w:val="decimal"/>
      <w:suff w:val="nothing"/>
      <w:lvlText w:val="（%1）"/>
      <w:lvlJc w:val="left"/>
    </w:lvl>
  </w:abstractNum>
  <w:abstractNum w:abstractNumId="8">
    <w:nsid w:val="E085B49D"/>
    <w:multiLevelType w:val="singleLevel"/>
    <w:tmpl w:val="E085B49D"/>
    <w:lvl w:ilvl="0" w:tentative="0">
      <w:start w:val="2"/>
      <w:numFmt w:val="chineseCounting"/>
      <w:suff w:val="nothing"/>
      <w:lvlText w:val="（%1）"/>
      <w:lvlJc w:val="left"/>
      <w:pPr>
        <w:ind w:left="562" w:firstLine="0"/>
      </w:pPr>
      <w:rPr>
        <w:rFonts w:hint="eastAsia"/>
      </w:rPr>
    </w:lvl>
  </w:abstractNum>
  <w:abstractNum w:abstractNumId="9">
    <w:nsid w:val="E3BB3A4C"/>
    <w:multiLevelType w:val="singleLevel"/>
    <w:tmpl w:val="E3BB3A4C"/>
    <w:lvl w:ilvl="0" w:tentative="0">
      <w:start w:val="1"/>
      <w:numFmt w:val="decimal"/>
      <w:suff w:val="nothing"/>
      <w:lvlText w:val="%1、"/>
      <w:lvlJc w:val="left"/>
    </w:lvl>
  </w:abstractNum>
  <w:abstractNum w:abstractNumId="10">
    <w:nsid w:val="023DD63D"/>
    <w:multiLevelType w:val="singleLevel"/>
    <w:tmpl w:val="023DD63D"/>
    <w:lvl w:ilvl="0" w:tentative="0">
      <w:start w:val="1"/>
      <w:numFmt w:val="decimal"/>
      <w:suff w:val="nothing"/>
      <w:lvlText w:val="%1、"/>
      <w:lvlJc w:val="left"/>
    </w:lvl>
  </w:abstractNum>
  <w:abstractNum w:abstractNumId="11">
    <w:nsid w:val="0F183B1D"/>
    <w:multiLevelType w:val="multilevel"/>
    <w:tmpl w:val="0F183B1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29A4B53"/>
    <w:multiLevelType w:val="multilevel"/>
    <w:tmpl w:val="129A4B5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3AC593E"/>
    <w:multiLevelType w:val="multilevel"/>
    <w:tmpl w:val="13AC593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BB966A7"/>
    <w:multiLevelType w:val="singleLevel"/>
    <w:tmpl w:val="1BB966A7"/>
    <w:lvl w:ilvl="0" w:tentative="0">
      <w:start w:val="1"/>
      <w:numFmt w:val="chineseCounting"/>
      <w:suff w:val="nothing"/>
      <w:lvlText w:val="%1、"/>
      <w:lvlJc w:val="left"/>
      <w:rPr>
        <w:rFonts w:hint="eastAsia"/>
      </w:rPr>
    </w:lvl>
  </w:abstractNum>
  <w:abstractNum w:abstractNumId="15">
    <w:nsid w:val="20792518"/>
    <w:multiLevelType w:val="singleLevel"/>
    <w:tmpl w:val="20792518"/>
    <w:lvl w:ilvl="0" w:tentative="0">
      <w:start w:val="1"/>
      <w:numFmt w:val="chineseCounting"/>
      <w:suff w:val="nothing"/>
      <w:lvlText w:val="（%1）"/>
      <w:lvlJc w:val="left"/>
      <w:rPr>
        <w:rFonts w:hint="eastAsia"/>
      </w:rPr>
    </w:lvl>
  </w:abstractNum>
  <w:abstractNum w:abstractNumId="16">
    <w:nsid w:val="27301B50"/>
    <w:multiLevelType w:val="multilevel"/>
    <w:tmpl w:val="27301B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F157C13"/>
    <w:multiLevelType w:val="multilevel"/>
    <w:tmpl w:val="2F157C1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98861C8"/>
    <w:multiLevelType w:val="multilevel"/>
    <w:tmpl w:val="398861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38E38C5"/>
    <w:multiLevelType w:val="multilevel"/>
    <w:tmpl w:val="538E38C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D9CBD96"/>
    <w:multiLevelType w:val="singleLevel"/>
    <w:tmpl w:val="6D9CBD96"/>
    <w:lvl w:ilvl="0" w:tentative="0">
      <w:start w:val="7"/>
      <w:numFmt w:val="chineseCounting"/>
      <w:suff w:val="nothing"/>
      <w:lvlText w:val="%1、"/>
      <w:lvlJc w:val="left"/>
      <w:rPr>
        <w:rFonts w:hint="eastAsia"/>
      </w:rPr>
    </w:lvl>
  </w:abstractNum>
  <w:abstractNum w:abstractNumId="21">
    <w:nsid w:val="7F0661D1"/>
    <w:multiLevelType w:val="multilevel"/>
    <w:tmpl w:val="7F0661D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7"/>
  </w:num>
  <w:num w:numId="3">
    <w:abstractNumId w:val="4"/>
  </w:num>
  <w:num w:numId="4">
    <w:abstractNumId w:val="3"/>
  </w:num>
  <w:num w:numId="5">
    <w:abstractNumId w:val="10"/>
  </w:num>
  <w:num w:numId="6">
    <w:abstractNumId w:val="9"/>
  </w:num>
  <w:num w:numId="7">
    <w:abstractNumId w:val="6"/>
  </w:num>
  <w:num w:numId="8">
    <w:abstractNumId w:val="11"/>
  </w:num>
  <w:num w:numId="9">
    <w:abstractNumId w:val="19"/>
  </w:num>
  <w:num w:numId="10">
    <w:abstractNumId w:val="12"/>
  </w:num>
  <w:num w:numId="11">
    <w:abstractNumId w:val="21"/>
  </w:num>
  <w:num w:numId="12">
    <w:abstractNumId w:val="13"/>
  </w:num>
  <w:num w:numId="13">
    <w:abstractNumId w:val="18"/>
  </w:num>
  <w:num w:numId="14">
    <w:abstractNumId w:val="16"/>
  </w:num>
  <w:num w:numId="15">
    <w:abstractNumId w:val="7"/>
  </w:num>
  <w:num w:numId="16">
    <w:abstractNumId w:val="1"/>
  </w:num>
  <w:num w:numId="17">
    <w:abstractNumId w:val="8"/>
  </w:num>
  <w:num w:numId="18">
    <w:abstractNumId w:val="20"/>
  </w:num>
  <w:num w:numId="19">
    <w:abstractNumId w:val="15"/>
  </w:num>
  <w:num w:numId="20">
    <w:abstractNumId w:val="2"/>
  </w:num>
  <w:num w:numId="21">
    <w:abstractNumId w:val="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F30"/>
    <w:rsid w:val="00000452"/>
    <w:rsid w:val="00001839"/>
    <w:rsid w:val="000067A3"/>
    <w:rsid w:val="00007917"/>
    <w:rsid w:val="0001172E"/>
    <w:rsid w:val="000119D0"/>
    <w:rsid w:val="0001347E"/>
    <w:rsid w:val="00013606"/>
    <w:rsid w:val="000179D1"/>
    <w:rsid w:val="00031B1A"/>
    <w:rsid w:val="00033DC4"/>
    <w:rsid w:val="00040406"/>
    <w:rsid w:val="00050A22"/>
    <w:rsid w:val="00054308"/>
    <w:rsid w:val="0006016F"/>
    <w:rsid w:val="00061109"/>
    <w:rsid w:val="000973C8"/>
    <w:rsid w:val="000A6AE2"/>
    <w:rsid w:val="000B1152"/>
    <w:rsid w:val="000B3279"/>
    <w:rsid w:val="000E1868"/>
    <w:rsid w:val="000E4280"/>
    <w:rsid w:val="000E4F30"/>
    <w:rsid w:val="000E664E"/>
    <w:rsid w:val="000E73D3"/>
    <w:rsid w:val="00100FBD"/>
    <w:rsid w:val="00105C20"/>
    <w:rsid w:val="00106611"/>
    <w:rsid w:val="00114F70"/>
    <w:rsid w:val="00115645"/>
    <w:rsid w:val="00116745"/>
    <w:rsid w:val="00121BAA"/>
    <w:rsid w:val="00133DF4"/>
    <w:rsid w:val="00140CA1"/>
    <w:rsid w:val="001446F4"/>
    <w:rsid w:val="00145A0C"/>
    <w:rsid w:val="00153981"/>
    <w:rsid w:val="00154A40"/>
    <w:rsid w:val="00163150"/>
    <w:rsid w:val="001A3FD8"/>
    <w:rsid w:val="001B2AE6"/>
    <w:rsid w:val="001C5C52"/>
    <w:rsid w:val="001E7563"/>
    <w:rsid w:val="00214E8A"/>
    <w:rsid w:val="00227964"/>
    <w:rsid w:val="002347C9"/>
    <w:rsid w:val="002464AD"/>
    <w:rsid w:val="00251066"/>
    <w:rsid w:val="002613C6"/>
    <w:rsid w:val="0026550D"/>
    <w:rsid w:val="00273B39"/>
    <w:rsid w:val="00280626"/>
    <w:rsid w:val="00287017"/>
    <w:rsid w:val="002905A6"/>
    <w:rsid w:val="002C2312"/>
    <w:rsid w:val="002D238D"/>
    <w:rsid w:val="002D42C9"/>
    <w:rsid w:val="002D7CC3"/>
    <w:rsid w:val="002F1FD8"/>
    <w:rsid w:val="002F3701"/>
    <w:rsid w:val="002F5200"/>
    <w:rsid w:val="0030094E"/>
    <w:rsid w:val="00301B9F"/>
    <w:rsid w:val="00302235"/>
    <w:rsid w:val="00302553"/>
    <w:rsid w:val="0030535B"/>
    <w:rsid w:val="0031056C"/>
    <w:rsid w:val="003339AB"/>
    <w:rsid w:val="00334237"/>
    <w:rsid w:val="003425A0"/>
    <w:rsid w:val="00345445"/>
    <w:rsid w:val="00351521"/>
    <w:rsid w:val="00357EE9"/>
    <w:rsid w:val="0037067F"/>
    <w:rsid w:val="003844BC"/>
    <w:rsid w:val="003A3DAA"/>
    <w:rsid w:val="003B2049"/>
    <w:rsid w:val="003B5DE9"/>
    <w:rsid w:val="003B64EA"/>
    <w:rsid w:val="003C016E"/>
    <w:rsid w:val="003C4C33"/>
    <w:rsid w:val="003F7A37"/>
    <w:rsid w:val="0040030B"/>
    <w:rsid w:val="00406854"/>
    <w:rsid w:val="004331E7"/>
    <w:rsid w:val="00434B91"/>
    <w:rsid w:val="00443A36"/>
    <w:rsid w:val="0048221B"/>
    <w:rsid w:val="004C4350"/>
    <w:rsid w:val="004C6390"/>
    <w:rsid w:val="004D0F86"/>
    <w:rsid w:val="004D4B2D"/>
    <w:rsid w:val="004F5A36"/>
    <w:rsid w:val="0055032D"/>
    <w:rsid w:val="00564D6F"/>
    <w:rsid w:val="005724F4"/>
    <w:rsid w:val="00576747"/>
    <w:rsid w:val="00577094"/>
    <w:rsid w:val="0057712A"/>
    <w:rsid w:val="00580E14"/>
    <w:rsid w:val="005A1B44"/>
    <w:rsid w:val="005C53C0"/>
    <w:rsid w:val="005E33C2"/>
    <w:rsid w:val="005F1A6F"/>
    <w:rsid w:val="00635F96"/>
    <w:rsid w:val="0063733D"/>
    <w:rsid w:val="0064053C"/>
    <w:rsid w:val="0064735A"/>
    <w:rsid w:val="00653227"/>
    <w:rsid w:val="0066201E"/>
    <w:rsid w:val="00675398"/>
    <w:rsid w:val="00686E3C"/>
    <w:rsid w:val="006C0724"/>
    <w:rsid w:val="006C1691"/>
    <w:rsid w:val="006D62D5"/>
    <w:rsid w:val="006E5727"/>
    <w:rsid w:val="00703BAC"/>
    <w:rsid w:val="00717BA0"/>
    <w:rsid w:val="007344E6"/>
    <w:rsid w:val="00737A8F"/>
    <w:rsid w:val="00755426"/>
    <w:rsid w:val="007654D0"/>
    <w:rsid w:val="007824DF"/>
    <w:rsid w:val="00786CBC"/>
    <w:rsid w:val="007A74DC"/>
    <w:rsid w:val="007B4C7C"/>
    <w:rsid w:val="007B6724"/>
    <w:rsid w:val="007B7202"/>
    <w:rsid w:val="007C75FB"/>
    <w:rsid w:val="007D07C2"/>
    <w:rsid w:val="007E44B8"/>
    <w:rsid w:val="007E4517"/>
    <w:rsid w:val="00817112"/>
    <w:rsid w:val="00825F80"/>
    <w:rsid w:val="0083348E"/>
    <w:rsid w:val="00842CA0"/>
    <w:rsid w:val="00870B20"/>
    <w:rsid w:val="008861C0"/>
    <w:rsid w:val="008874F9"/>
    <w:rsid w:val="008A4980"/>
    <w:rsid w:val="008B309E"/>
    <w:rsid w:val="008C00A7"/>
    <w:rsid w:val="008C4D1F"/>
    <w:rsid w:val="008D4D55"/>
    <w:rsid w:val="008F7403"/>
    <w:rsid w:val="00913850"/>
    <w:rsid w:val="009167A4"/>
    <w:rsid w:val="00920452"/>
    <w:rsid w:val="0092261F"/>
    <w:rsid w:val="00934ACC"/>
    <w:rsid w:val="00941AD9"/>
    <w:rsid w:val="0094394B"/>
    <w:rsid w:val="00943988"/>
    <w:rsid w:val="009564A6"/>
    <w:rsid w:val="00960DBC"/>
    <w:rsid w:val="009658E3"/>
    <w:rsid w:val="009716EE"/>
    <w:rsid w:val="00980B1A"/>
    <w:rsid w:val="0098528E"/>
    <w:rsid w:val="009A4F77"/>
    <w:rsid w:val="009A50C9"/>
    <w:rsid w:val="009B7D42"/>
    <w:rsid w:val="009D2591"/>
    <w:rsid w:val="009D75E4"/>
    <w:rsid w:val="009E5BFE"/>
    <w:rsid w:val="009E62A3"/>
    <w:rsid w:val="009E7D2C"/>
    <w:rsid w:val="009F0DAD"/>
    <w:rsid w:val="009F5325"/>
    <w:rsid w:val="00A05E5B"/>
    <w:rsid w:val="00A0739B"/>
    <w:rsid w:val="00A076D7"/>
    <w:rsid w:val="00A16DD0"/>
    <w:rsid w:val="00A53F1D"/>
    <w:rsid w:val="00A6031A"/>
    <w:rsid w:val="00A65D5E"/>
    <w:rsid w:val="00A87EDF"/>
    <w:rsid w:val="00A9408C"/>
    <w:rsid w:val="00A94DCA"/>
    <w:rsid w:val="00AA01FC"/>
    <w:rsid w:val="00AA4A95"/>
    <w:rsid w:val="00AC2301"/>
    <w:rsid w:val="00AD00C7"/>
    <w:rsid w:val="00AD0F65"/>
    <w:rsid w:val="00AD23A4"/>
    <w:rsid w:val="00AD547D"/>
    <w:rsid w:val="00AE5655"/>
    <w:rsid w:val="00AF447D"/>
    <w:rsid w:val="00AF53EC"/>
    <w:rsid w:val="00AF6D1B"/>
    <w:rsid w:val="00AF7B05"/>
    <w:rsid w:val="00B039CD"/>
    <w:rsid w:val="00B12BB0"/>
    <w:rsid w:val="00B209D7"/>
    <w:rsid w:val="00B23F35"/>
    <w:rsid w:val="00B32F93"/>
    <w:rsid w:val="00B374B7"/>
    <w:rsid w:val="00B60A46"/>
    <w:rsid w:val="00B70C81"/>
    <w:rsid w:val="00B70CFA"/>
    <w:rsid w:val="00B74852"/>
    <w:rsid w:val="00B92A43"/>
    <w:rsid w:val="00BA57DB"/>
    <w:rsid w:val="00BB5912"/>
    <w:rsid w:val="00BB6DD2"/>
    <w:rsid w:val="00BC5D2B"/>
    <w:rsid w:val="00BD185F"/>
    <w:rsid w:val="00BD22D1"/>
    <w:rsid w:val="00BE5F85"/>
    <w:rsid w:val="00BF09D8"/>
    <w:rsid w:val="00BF0F41"/>
    <w:rsid w:val="00C1770F"/>
    <w:rsid w:val="00C439FE"/>
    <w:rsid w:val="00C575DA"/>
    <w:rsid w:val="00C65AA7"/>
    <w:rsid w:val="00C8196C"/>
    <w:rsid w:val="00C832FC"/>
    <w:rsid w:val="00C838DB"/>
    <w:rsid w:val="00C8425A"/>
    <w:rsid w:val="00C90ED6"/>
    <w:rsid w:val="00C92615"/>
    <w:rsid w:val="00CA3651"/>
    <w:rsid w:val="00CA6890"/>
    <w:rsid w:val="00CB191B"/>
    <w:rsid w:val="00CB4D5D"/>
    <w:rsid w:val="00CC37F6"/>
    <w:rsid w:val="00CC49E3"/>
    <w:rsid w:val="00CC6485"/>
    <w:rsid w:val="00CE423C"/>
    <w:rsid w:val="00CF1878"/>
    <w:rsid w:val="00CF5DCD"/>
    <w:rsid w:val="00CF6EE0"/>
    <w:rsid w:val="00CF720E"/>
    <w:rsid w:val="00D03427"/>
    <w:rsid w:val="00D20A99"/>
    <w:rsid w:val="00D22B6B"/>
    <w:rsid w:val="00D22DAC"/>
    <w:rsid w:val="00D3697D"/>
    <w:rsid w:val="00D378D4"/>
    <w:rsid w:val="00D47577"/>
    <w:rsid w:val="00D50CBF"/>
    <w:rsid w:val="00D52873"/>
    <w:rsid w:val="00D53B14"/>
    <w:rsid w:val="00D5596E"/>
    <w:rsid w:val="00D81C25"/>
    <w:rsid w:val="00D824A3"/>
    <w:rsid w:val="00DA19CD"/>
    <w:rsid w:val="00DA70AE"/>
    <w:rsid w:val="00DC14FB"/>
    <w:rsid w:val="00DC333C"/>
    <w:rsid w:val="00DD6F9B"/>
    <w:rsid w:val="00DF235F"/>
    <w:rsid w:val="00E03E95"/>
    <w:rsid w:val="00E1630F"/>
    <w:rsid w:val="00E5176F"/>
    <w:rsid w:val="00E57A0F"/>
    <w:rsid w:val="00E673F3"/>
    <w:rsid w:val="00E82DE6"/>
    <w:rsid w:val="00E9256B"/>
    <w:rsid w:val="00EA4CED"/>
    <w:rsid w:val="00EB4054"/>
    <w:rsid w:val="00EC3DD5"/>
    <w:rsid w:val="00EC50A7"/>
    <w:rsid w:val="00EC58B3"/>
    <w:rsid w:val="00EC6D92"/>
    <w:rsid w:val="00EC7661"/>
    <w:rsid w:val="00EE4D9D"/>
    <w:rsid w:val="00F126F9"/>
    <w:rsid w:val="00F1486B"/>
    <w:rsid w:val="00F14925"/>
    <w:rsid w:val="00F205FE"/>
    <w:rsid w:val="00F22688"/>
    <w:rsid w:val="00F571E0"/>
    <w:rsid w:val="00F6627E"/>
    <w:rsid w:val="00F76469"/>
    <w:rsid w:val="00F856EF"/>
    <w:rsid w:val="00FB1F70"/>
    <w:rsid w:val="00FC2575"/>
    <w:rsid w:val="00FC3ECF"/>
    <w:rsid w:val="00FC48C1"/>
    <w:rsid w:val="00FD3522"/>
    <w:rsid w:val="00FD71B4"/>
    <w:rsid w:val="00FE3995"/>
    <w:rsid w:val="00FE5C48"/>
    <w:rsid w:val="00FF0A4D"/>
    <w:rsid w:val="00FF11EA"/>
    <w:rsid w:val="00FF5A72"/>
    <w:rsid w:val="0144277C"/>
    <w:rsid w:val="015035FB"/>
    <w:rsid w:val="01DB3326"/>
    <w:rsid w:val="03D6361F"/>
    <w:rsid w:val="04495962"/>
    <w:rsid w:val="04611C66"/>
    <w:rsid w:val="052F72A6"/>
    <w:rsid w:val="06CF010D"/>
    <w:rsid w:val="073B0B38"/>
    <w:rsid w:val="07906720"/>
    <w:rsid w:val="07E453EA"/>
    <w:rsid w:val="080844F8"/>
    <w:rsid w:val="08D86C23"/>
    <w:rsid w:val="09765F58"/>
    <w:rsid w:val="0ADF1B70"/>
    <w:rsid w:val="0B894066"/>
    <w:rsid w:val="0BB20CD6"/>
    <w:rsid w:val="0BFF7836"/>
    <w:rsid w:val="0C3B3F22"/>
    <w:rsid w:val="0CB31846"/>
    <w:rsid w:val="0D4B2041"/>
    <w:rsid w:val="0DC47190"/>
    <w:rsid w:val="0DCB52A7"/>
    <w:rsid w:val="0DD25836"/>
    <w:rsid w:val="0FEA5842"/>
    <w:rsid w:val="11146B29"/>
    <w:rsid w:val="11606E9A"/>
    <w:rsid w:val="12117242"/>
    <w:rsid w:val="127F18FB"/>
    <w:rsid w:val="128F13AA"/>
    <w:rsid w:val="13C5785C"/>
    <w:rsid w:val="14D70B5C"/>
    <w:rsid w:val="154369ED"/>
    <w:rsid w:val="16185ECD"/>
    <w:rsid w:val="162B29CD"/>
    <w:rsid w:val="164468A6"/>
    <w:rsid w:val="18D66A58"/>
    <w:rsid w:val="190B3282"/>
    <w:rsid w:val="19E14534"/>
    <w:rsid w:val="1AD30F7F"/>
    <w:rsid w:val="1AE5495E"/>
    <w:rsid w:val="1B2770C7"/>
    <w:rsid w:val="1B294D67"/>
    <w:rsid w:val="1B68472B"/>
    <w:rsid w:val="1B71289B"/>
    <w:rsid w:val="1B7B0F0F"/>
    <w:rsid w:val="1C300838"/>
    <w:rsid w:val="1C326277"/>
    <w:rsid w:val="1E102EC2"/>
    <w:rsid w:val="1E5C37CE"/>
    <w:rsid w:val="1E5F2729"/>
    <w:rsid w:val="1EE20217"/>
    <w:rsid w:val="1F02187C"/>
    <w:rsid w:val="1F110B07"/>
    <w:rsid w:val="1F2B58C9"/>
    <w:rsid w:val="20910448"/>
    <w:rsid w:val="20944311"/>
    <w:rsid w:val="21076A1A"/>
    <w:rsid w:val="21982C01"/>
    <w:rsid w:val="22804992"/>
    <w:rsid w:val="22C67CF6"/>
    <w:rsid w:val="238B3988"/>
    <w:rsid w:val="23EF02CB"/>
    <w:rsid w:val="25243D02"/>
    <w:rsid w:val="25806077"/>
    <w:rsid w:val="25DC06EA"/>
    <w:rsid w:val="260C5C11"/>
    <w:rsid w:val="26BA408C"/>
    <w:rsid w:val="27463D2F"/>
    <w:rsid w:val="275105AF"/>
    <w:rsid w:val="27A6FAF2"/>
    <w:rsid w:val="284C32CA"/>
    <w:rsid w:val="28F434A8"/>
    <w:rsid w:val="297D2F9E"/>
    <w:rsid w:val="29C17711"/>
    <w:rsid w:val="2AFA0C1B"/>
    <w:rsid w:val="2B303AAE"/>
    <w:rsid w:val="2B89432E"/>
    <w:rsid w:val="2DC90DEA"/>
    <w:rsid w:val="2E045D86"/>
    <w:rsid w:val="2E0D156E"/>
    <w:rsid w:val="2EBA63E9"/>
    <w:rsid w:val="2F3D2562"/>
    <w:rsid w:val="2FA9052A"/>
    <w:rsid w:val="301800D8"/>
    <w:rsid w:val="30841595"/>
    <w:rsid w:val="30E1519D"/>
    <w:rsid w:val="314343F0"/>
    <w:rsid w:val="31EDAAEA"/>
    <w:rsid w:val="32281670"/>
    <w:rsid w:val="327A1ACA"/>
    <w:rsid w:val="330025F4"/>
    <w:rsid w:val="341D1435"/>
    <w:rsid w:val="35DA0777"/>
    <w:rsid w:val="364778E9"/>
    <w:rsid w:val="36B76B37"/>
    <w:rsid w:val="383E2540"/>
    <w:rsid w:val="38DB748D"/>
    <w:rsid w:val="392B0097"/>
    <w:rsid w:val="3B434CFF"/>
    <w:rsid w:val="3B513B6B"/>
    <w:rsid w:val="3B7FB2D6"/>
    <w:rsid w:val="3B863FE2"/>
    <w:rsid w:val="3BB32FF0"/>
    <w:rsid w:val="3C1A04EE"/>
    <w:rsid w:val="3C3B1961"/>
    <w:rsid w:val="3C494E7D"/>
    <w:rsid w:val="3C6E0BC6"/>
    <w:rsid w:val="3C8B23C3"/>
    <w:rsid w:val="3D0D6865"/>
    <w:rsid w:val="3D7F32E1"/>
    <w:rsid w:val="3DC85004"/>
    <w:rsid w:val="3DE83ECF"/>
    <w:rsid w:val="3EF1023B"/>
    <w:rsid w:val="3EF23231"/>
    <w:rsid w:val="3EF46E5C"/>
    <w:rsid w:val="3EFE96A4"/>
    <w:rsid w:val="3F6D6AE6"/>
    <w:rsid w:val="3F6EC548"/>
    <w:rsid w:val="40591590"/>
    <w:rsid w:val="41280046"/>
    <w:rsid w:val="41D54198"/>
    <w:rsid w:val="428E5325"/>
    <w:rsid w:val="42A15CD9"/>
    <w:rsid w:val="42E61160"/>
    <w:rsid w:val="4356480C"/>
    <w:rsid w:val="44551793"/>
    <w:rsid w:val="45DF37F8"/>
    <w:rsid w:val="461E305E"/>
    <w:rsid w:val="46863F3C"/>
    <w:rsid w:val="4708485D"/>
    <w:rsid w:val="4738397A"/>
    <w:rsid w:val="47770A4E"/>
    <w:rsid w:val="47A21A32"/>
    <w:rsid w:val="47E375D6"/>
    <w:rsid w:val="48332C4C"/>
    <w:rsid w:val="49157CEF"/>
    <w:rsid w:val="4936446A"/>
    <w:rsid w:val="4A4560BB"/>
    <w:rsid w:val="4A9D1ABF"/>
    <w:rsid w:val="4C860C89"/>
    <w:rsid w:val="4D695E63"/>
    <w:rsid w:val="4D7A5A7C"/>
    <w:rsid w:val="4DE873C2"/>
    <w:rsid w:val="4EC609DA"/>
    <w:rsid w:val="4F0F2AFF"/>
    <w:rsid w:val="4F2518C2"/>
    <w:rsid w:val="4F386487"/>
    <w:rsid w:val="4FAFDCB2"/>
    <w:rsid w:val="508A1321"/>
    <w:rsid w:val="50B37D2E"/>
    <w:rsid w:val="50D72FA4"/>
    <w:rsid w:val="51F11737"/>
    <w:rsid w:val="5202720C"/>
    <w:rsid w:val="521E6DF1"/>
    <w:rsid w:val="522E55DD"/>
    <w:rsid w:val="530D3561"/>
    <w:rsid w:val="5311637E"/>
    <w:rsid w:val="533B27E0"/>
    <w:rsid w:val="53A32D30"/>
    <w:rsid w:val="541611CD"/>
    <w:rsid w:val="56556A21"/>
    <w:rsid w:val="566D879F"/>
    <w:rsid w:val="571337F7"/>
    <w:rsid w:val="57F53DC8"/>
    <w:rsid w:val="5889071C"/>
    <w:rsid w:val="59FF5495"/>
    <w:rsid w:val="5AA516BE"/>
    <w:rsid w:val="5AFD80B6"/>
    <w:rsid w:val="5B0169F9"/>
    <w:rsid w:val="5B7E7318"/>
    <w:rsid w:val="5B9B90A9"/>
    <w:rsid w:val="5BDF8CD6"/>
    <w:rsid w:val="5CAE17D3"/>
    <w:rsid w:val="5DA26B9E"/>
    <w:rsid w:val="5DB7B057"/>
    <w:rsid w:val="5DED366D"/>
    <w:rsid w:val="5DEF0A1A"/>
    <w:rsid w:val="5DF16220"/>
    <w:rsid w:val="5E667ED2"/>
    <w:rsid w:val="5E9D305B"/>
    <w:rsid w:val="5EED152D"/>
    <w:rsid w:val="5EFF7D9C"/>
    <w:rsid w:val="5F5B0F7C"/>
    <w:rsid w:val="5F824AD5"/>
    <w:rsid w:val="5FABBE4A"/>
    <w:rsid w:val="5FDF0072"/>
    <w:rsid w:val="5FE628C4"/>
    <w:rsid w:val="5FEF7E8C"/>
    <w:rsid w:val="5FF73DA0"/>
    <w:rsid w:val="5FFE704F"/>
    <w:rsid w:val="60480195"/>
    <w:rsid w:val="615D3E63"/>
    <w:rsid w:val="62186841"/>
    <w:rsid w:val="63285087"/>
    <w:rsid w:val="63C178EE"/>
    <w:rsid w:val="64045D32"/>
    <w:rsid w:val="643A29E4"/>
    <w:rsid w:val="653B583F"/>
    <w:rsid w:val="65CB1155"/>
    <w:rsid w:val="66C04706"/>
    <w:rsid w:val="67393C33"/>
    <w:rsid w:val="67396990"/>
    <w:rsid w:val="675E7B01"/>
    <w:rsid w:val="676F444C"/>
    <w:rsid w:val="67A3380E"/>
    <w:rsid w:val="694820B1"/>
    <w:rsid w:val="6A17415C"/>
    <w:rsid w:val="6A734511"/>
    <w:rsid w:val="6AE0410A"/>
    <w:rsid w:val="6B9E73F4"/>
    <w:rsid w:val="6BB66729"/>
    <w:rsid w:val="6BDE8DDC"/>
    <w:rsid w:val="6BF32996"/>
    <w:rsid w:val="6BF604EB"/>
    <w:rsid w:val="6BFB1F4D"/>
    <w:rsid w:val="6C6027BD"/>
    <w:rsid w:val="6D271DFE"/>
    <w:rsid w:val="6DFFBBDC"/>
    <w:rsid w:val="6EBD5F18"/>
    <w:rsid w:val="6EED64FB"/>
    <w:rsid w:val="6F2A7D24"/>
    <w:rsid w:val="6F8B3098"/>
    <w:rsid w:val="6FEB36E3"/>
    <w:rsid w:val="6FF40DFF"/>
    <w:rsid w:val="6FFE9CC8"/>
    <w:rsid w:val="703C1A03"/>
    <w:rsid w:val="70882FBD"/>
    <w:rsid w:val="718F3EFB"/>
    <w:rsid w:val="71C761F3"/>
    <w:rsid w:val="731CC079"/>
    <w:rsid w:val="73631562"/>
    <w:rsid w:val="74040082"/>
    <w:rsid w:val="755E23EA"/>
    <w:rsid w:val="76381E75"/>
    <w:rsid w:val="765D34F7"/>
    <w:rsid w:val="767DA7F6"/>
    <w:rsid w:val="76A02B41"/>
    <w:rsid w:val="76FD52D2"/>
    <w:rsid w:val="77361597"/>
    <w:rsid w:val="77432F31"/>
    <w:rsid w:val="775F01D1"/>
    <w:rsid w:val="776C79F9"/>
    <w:rsid w:val="776EB427"/>
    <w:rsid w:val="77FF08B7"/>
    <w:rsid w:val="78257B40"/>
    <w:rsid w:val="78538F2A"/>
    <w:rsid w:val="78826A6B"/>
    <w:rsid w:val="79FD49D2"/>
    <w:rsid w:val="7AF5E764"/>
    <w:rsid w:val="7B763560"/>
    <w:rsid w:val="7BA750CF"/>
    <w:rsid w:val="7C76715F"/>
    <w:rsid w:val="7C903344"/>
    <w:rsid w:val="7D4449CA"/>
    <w:rsid w:val="7D77AC5D"/>
    <w:rsid w:val="7D781603"/>
    <w:rsid w:val="7D8B8F94"/>
    <w:rsid w:val="7DC73720"/>
    <w:rsid w:val="7DDBB2C3"/>
    <w:rsid w:val="7DE34EA3"/>
    <w:rsid w:val="7DFD5B33"/>
    <w:rsid w:val="7E7F38B2"/>
    <w:rsid w:val="7ED920F3"/>
    <w:rsid w:val="7EEDDF98"/>
    <w:rsid w:val="7F152262"/>
    <w:rsid w:val="7F2359B9"/>
    <w:rsid w:val="7F3FCB0B"/>
    <w:rsid w:val="7F7B22BE"/>
    <w:rsid w:val="7F87EC38"/>
    <w:rsid w:val="7FE4B43D"/>
    <w:rsid w:val="7FE7AC7D"/>
    <w:rsid w:val="7FED1D21"/>
    <w:rsid w:val="7FF2EC5F"/>
    <w:rsid w:val="7FF37E62"/>
    <w:rsid w:val="7FF6D6D8"/>
    <w:rsid w:val="7FFAD0B6"/>
    <w:rsid w:val="96FF452D"/>
    <w:rsid w:val="9FEF0838"/>
    <w:rsid w:val="9FFFA9CC"/>
    <w:rsid w:val="A37DDE7C"/>
    <w:rsid w:val="A7D7F559"/>
    <w:rsid w:val="B25D9BA2"/>
    <w:rsid w:val="B50E32B7"/>
    <w:rsid w:val="B53960EE"/>
    <w:rsid w:val="B56C5BFA"/>
    <w:rsid w:val="B7FE1570"/>
    <w:rsid w:val="BB3A6E61"/>
    <w:rsid w:val="BCECE237"/>
    <w:rsid w:val="BDBD09AB"/>
    <w:rsid w:val="BF6FB0A3"/>
    <w:rsid w:val="BFBF333F"/>
    <w:rsid w:val="BFF963EE"/>
    <w:rsid w:val="BFFF4D7A"/>
    <w:rsid w:val="C57FCFF8"/>
    <w:rsid w:val="CE61374D"/>
    <w:rsid w:val="CFADF5F1"/>
    <w:rsid w:val="D5DEBC89"/>
    <w:rsid w:val="D7DF16B9"/>
    <w:rsid w:val="D7F94FC4"/>
    <w:rsid w:val="D9E768C9"/>
    <w:rsid w:val="DB5F2C69"/>
    <w:rsid w:val="DEFF170F"/>
    <w:rsid w:val="DF8C8E07"/>
    <w:rsid w:val="DF98B9DB"/>
    <w:rsid w:val="DFAF63E9"/>
    <w:rsid w:val="DFB28D92"/>
    <w:rsid w:val="DFC90DB7"/>
    <w:rsid w:val="DFFFA9C1"/>
    <w:rsid w:val="E2DF2446"/>
    <w:rsid w:val="E35F6F2C"/>
    <w:rsid w:val="E7C9BFC8"/>
    <w:rsid w:val="E7D39D33"/>
    <w:rsid w:val="E7F486A1"/>
    <w:rsid w:val="EAD5E980"/>
    <w:rsid w:val="EBCF07FA"/>
    <w:rsid w:val="EE73AA31"/>
    <w:rsid w:val="EF7B2ACB"/>
    <w:rsid w:val="EF7F33E4"/>
    <w:rsid w:val="EFBF8627"/>
    <w:rsid w:val="EFED0912"/>
    <w:rsid w:val="EFF0CC07"/>
    <w:rsid w:val="EFFDE063"/>
    <w:rsid w:val="F3DF1C15"/>
    <w:rsid w:val="F71EDEBA"/>
    <w:rsid w:val="F79BFA57"/>
    <w:rsid w:val="F7D2BC3B"/>
    <w:rsid w:val="F7DFC057"/>
    <w:rsid w:val="F7ED354B"/>
    <w:rsid w:val="FBBB29A7"/>
    <w:rsid w:val="FBDDCE08"/>
    <w:rsid w:val="FBEF3C7E"/>
    <w:rsid w:val="FBEFE501"/>
    <w:rsid w:val="FBF59BB9"/>
    <w:rsid w:val="FBFA73D0"/>
    <w:rsid w:val="FBFF604F"/>
    <w:rsid w:val="FD3BCC26"/>
    <w:rsid w:val="FDBA3954"/>
    <w:rsid w:val="FE9939CC"/>
    <w:rsid w:val="FEFF7044"/>
    <w:rsid w:val="FF673C8A"/>
    <w:rsid w:val="FFAFC590"/>
    <w:rsid w:val="FFBB3001"/>
    <w:rsid w:val="FFC6950A"/>
    <w:rsid w:val="FFFD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198"/>
      <w:jc w:val="both"/>
    </w:pPr>
    <w:rPr>
      <w:rFonts w:asciiTheme="majorHAnsi" w:hAnsiTheme="majorHAnsi" w:eastAsiaTheme="majorEastAsia" w:cstheme="minorBidi"/>
      <w:kern w:val="2"/>
      <w:sz w:val="28"/>
      <w:szCs w:val="28"/>
      <w:lang w:val="en-US" w:eastAsia="zh-CN" w:bidi="ar-SA"/>
    </w:rPr>
  </w:style>
  <w:style w:type="paragraph" w:styleId="4">
    <w:name w:val="heading 1"/>
    <w:basedOn w:val="1"/>
    <w:next w:val="1"/>
    <w:link w:val="24"/>
    <w:qFormat/>
    <w:uiPriority w:val="9"/>
    <w:pPr>
      <w:keepNext/>
      <w:keepLines/>
      <w:spacing w:before="340" w:after="330" w:line="578" w:lineRule="auto"/>
      <w:outlineLvl w:val="0"/>
    </w:pPr>
    <w:rPr>
      <w:b/>
      <w:bCs/>
      <w:kern w:val="44"/>
      <w:sz w:val="44"/>
      <w:szCs w:val="44"/>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link w:val="68"/>
    <w:qFormat/>
    <w:uiPriority w:val="99"/>
    <w:pPr>
      <w:spacing w:after="120"/>
    </w:pPr>
  </w:style>
  <w:style w:type="paragraph" w:styleId="5">
    <w:name w:val="annotation text"/>
    <w:basedOn w:val="1"/>
    <w:semiHidden/>
    <w:unhideWhenUsed/>
    <w:qFormat/>
    <w:uiPriority w:val="99"/>
    <w:pPr>
      <w:jc w:val="left"/>
    </w:pPr>
  </w:style>
  <w:style w:type="paragraph" w:styleId="6">
    <w:name w:val="Body Text Indent"/>
    <w:basedOn w:val="1"/>
    <w:link w:val="63"/>
    <w:qFormat/>
    <w:uiPriority w:val="0"/>
    <w:pPr>
      <w:widowControl w:val="0"/>
      <w:tabs>
        <w:tab w:val="left" w:pos="1470"/>
      </w:tabs>
      <w:spacing w:line="580" w:lineRule="exact"/>
      <w:ind w:firstLine="640" w:firstLineChars="200"/>
    </w:pPr>
    <w:rPr>
      <w:rFonts w:ascii="Times New Roman" w:hAnsi="Times New Roman" w:eastAsia="仿宋_GB2312" w:cs="Times New Roman"/>
      <w:sz w:val="32"/>
      <w:szCs w:val="24"/>
    </w:rPr>
  </w:style>
  <w:style w:type="paragraph" w:styleId="7">
    <w:name w:val="Body Text Indent 2"/>
    <w:basedOn w:val="1"/>
    <w:link w:val="67"/>
    <w:qFormat/>
    <w:uiPriority w:val="0"/>
    <w:pPr>
      <w:widowControl w:val="0"/>
      <w:spacing w:after="120" w:line="480" w:lineRule="auto"/>
      <w:ind w:left="420" w:leftChars="200" w:firstLine="0"/>
    </w:pPr>
    <w:rPr>
      <w:rFonts w:ascii="Times New Roman" w:hAnsi="Times New Roman" w:eastAsia="宋体"/>
      <w:sz w:val="21"/>
      <w:szCs w:val="24"/>
    </w:rPr>
  </w:style>
  <w:style w:type="paragraph" w:styleId="8">
    <w:name w:val="Balloon Text"/>
    <w:basedOn w:val="1"/>
    <w:link w:val="62"/>
    <w:unhideWhenUsed/>
    <w:qFormat/>
    <w:uiPriority w:val="99"/>
    <w:rPr>
      <w:sz w:val="18"/>
      <w:szCs w:val="18"/>
    </w:rPr>
  </w:style>
  <w:style w:type="paragraph" w:styleId="9">
    <w:name w:val="footer"/>
    <w:basedOn w:val="1"/>
    <w:link w:val="61"/>
    <w:unhideWhenUsed/>
    <w:qFormat/>
    <w:uiPriority w:val="99"/>
    <w:pPr>
      <w:tabs>
        <w:tab w:val="center" w:pos="4153"/>
        <w:tab w:val="right" w:pos="8306"/>
      </w:tabs>
      <w:snapToGrid w:val="0"/>
      <w:jc w:val="left"/>
    </w:pPr>
    <w:rPr>
      <w:sz w:val="18"/>
      <w:szCs w:val="18"/>
    </w:rPr>
  </w:style>
  <w:style w:type="paragraph" w:styleId="10">
    <w:name w:val="header"/>
    <w:basedOn w:val="1"/>
    <w:link w:val="6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Subtitle"/>
    <w:basedOn w:val="1"/>
    <w:next w:val="1"/>
    <w:link w:val="25"/>
    <w:qFormat/>
    <w:uiPriority w:val="11"/>
    <w:pPr>
      <w:ind w:firstLine="0"/>
      <w:jc w:val="left"/>
      <w:outlineLvl w:val="1"/>
    </w:pPr>
    <w:rPr>
      <w:rFonts w:asciiTheme="minorHAnsi" w:hAnsiTheme="minorHAnsi" w:eastAsiaTheme="minorEastAsia"/>
      <w:b/>
      <w:bCs/>
      <w:kern w:val="28"/>
      <w:sz w:val="24"/>
      <w:szCs w:val="32"/>
    </w:rPr>
  </w:style>
  <w:style w:type="paragraph" w:styleId="13">
    <w:name w:val="Body Text Indent 3"/>
    <w:basedOn w:val="1"/>
    <w:link w:val="66"/>
    <w:unhideWhenUsed/>
    <w:qFormat/>
    <w:uiPriority w:val="99"/>
    <w:pPr>
      <w:widowControl w:val="0"/>
      <w:spacing w:after="120"/>
      <w:ind w:left="420" w:leftChars="200" w:firstLine="0"/>
    </w:pPr>
    <w:rPr>
      <w:rFonts w:ascii="Times New Roman" w:hAnsi="Times New Roman" w:eastAsia="宋体" w:cs="Times New Roman"/>
      <w:sz w:val="16"/>
      <w:szCs w:val="16"/>
    </w:rPr>
  </w:style>
  <w:style w:type="paragraph" w:styleId="14">
    <w:name w:val="toc 2"/>
    <w:basedOn w:val="1"/>
    <w:next w:val="1"/>
    <w:unhideWhenUsed/>
    <w:qFormat/>
    <w:uiPriority w:val="39"/>
    <w:pPr>
      <w:ind w:left="420" w:leftChars="200"/>
    </w:pPr>
  </w:style>
  <w:style w:type="paragraph" w:styleId="15">
    <w:name w:val="Title"/>
    <w:basedOn w:val="1"/>
    <w:next w:val="1"/>
    <w:link w:val="23"/>
    <w:qFormat/>
    <w:uiPriority w:val="10"/>
    <w:pPr>
      <w:spacing w:before="20" w:after="20"/>
      <w:ind w:firstLine="0"/>
      <w:jc w:val="left"/>
      <w:outlineLvl w:val="0"/>
    </w:pPr>
    <w:rPr>
      <w:rFonts w:cstheme="majorBidi"/>
      <w:b/>
      <w:bCs/>
      <w:szCs w:val="32"/>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unhideWhenUsed/>
    <w:qFormat/>
    <w:uiPriority w:val="99"/>
    <w:rPr>
      <w:color w:val="954F72"/>
      <w:u w:val="single"/>
    </w:rPr>
  </w:style>
  <w:style w:type="character" w:styleId="20">
    <w:name w:val="Hyperlink"/>
    <w:basedOn w:val="18"/>
    <w:unhideWhenUsed/>
    <w:qFormat/>
    <w:uiPriority w:val="99"/>
    <w:rPr>
      <w:color w:val="0563C1" w:themeColor="hyperlink"/>
      <w:u w:val="single"/>
      <w14:textFill>
        <w14:solidFill>
          <w14:schemeClr w14:val="hlink"/>
        </w14:solidFill>
      </w14:textFill>
    </w:rPr>
  </w:style>
  <w:style w:type="paragraph" w:customStyle="1" w:styleId="21">
    <w:name w:val="列表段落1"/>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3">
    <w:name w:val="标题 字符"/>
    <w:basedOn w:val="18"/>
    <w:link w:val="15"/>
    <w:qFormat/>
    <w:uiPriority w:val="10"/>
    <w:rPr>
      <w:rFonts w:cstheme="majorBidi"/>
      <w:b/>
      <w:bCs/>
      <w:szCs w:val="32"/>
    </w:rPr>
  </w:style>
  <w:style w:type="character" w:customStyle="1" w:styleId="24">
    <w:name w:val="标题 1 字符"/>
    <w:basedOn w:val="18"/>
    <w:link w:val="4"/>
    <w:qFormat/>
    <w:uiPriority w:val="9"/>
    <w:rPr>
      <w:b/>
      <w:bCs/>
      <w:kern w:val="44"/>
      <w:sz w:val="44"/>
      <w:szCs w:val="44"/>
    </w:rPr>
  </w:style>
  <w:style w:type="character" w:customStyle="1" w:styleId="25">
    <w:name w:val="副标题 字符"/>
    <w:basedOn w:val="18"/>
    <w:link w:val="12"/>
    <w:qFormat/>
    <w:uiPriority w:val="11"/>
    <w:rPr>
      <w:rFonts w:asciiTheme="minorHAnsi" w:hAnsiTheme="minorHAnsi" w:eastAsiaTheme="minorEastAsia"/>
      <w:b/>
      <w:bCs/>
      <w:kern w:val="28"/>
      <w:sz w:val="24"/>
      <w:szCs w:val="32"/>
    </w:rPr>
  </w:style>
  <w:style w:type="paragraph" w:customStyle="1" w:styleId="26">
    <w:name w:val="TOC 标题1"/>
    <w:basedOn w:val="4"/>
    <w:next w:val="1"/>
    <w:unhideWhenUsed/>
    <w:qFormat/>
    <w:uiPriority w:val="39"/>
    <w:pPr>
      <w:spacing w:before="240" w:after="0" w:line="259" w:lineRule="auto"/>
      <w:ind w:firstLine="0"/>
      <w:jc w:val="left"/>
      <w:outlineLvl w:val="9"/>
    </w:pPr>
    <w:rPr>
      <w:rFonts w:cstheme="majorBidi"/>
      <w:b w:val="0"/>
      <w:bCs w:val="0"/>
      <w:color w:val="2F5597" w:themeColor="accent1" w:themeShade="BF"/>
      <w:kern w:val="0"/>
      <w:sz w:val="32"/>
      <w:szCs w:val="32"/>
    </w:rPr>
  </w:style>
  <w:style w:type="paragraph" w:customStyle="1" w:styleId="27">
    <w:name w:val="msonormal"/>
    <w:basedOn w:val="1"/>
    <w:qFormat/>
    <w:uiPriority w:val="0"/>
    <w:pPr>
      <w:spacing w:before="100" w:beforeAutospacing="1" w:after="100" w:afterAutospacing="1"/>
      <w:ind w:firstLine="0"/>
      <w:jc w:val="left"/>
    </w:pPr>
    <w:rPr>
      <w:rFonts w:ascii="宋体" w:hAnsi="宋体" w:eastAsia="宋体" w:cs="宋体"/>
      <w:kern w:val="0"/>
      <w:sz w:val="24"/>
      <w:szCs w:val="24"/>
    </w:rPr>
  </w:style>
  <w:style w:type="paragraph" w:customStyle="1" w:styleId="28">
    <w:name w:val="font5"/>
    <w:basedOn w:val="1"/>
    <w:qFormat/>
    <w:uiPriority w:val="0"/>
    <w:pPr>
      <w:spacing w:before="100" w:beforeAutospacing="1" w:after="100" w:afterAutospacing="1"/>
      <w:ind w:firstLine="0"/>
      <w:jc w:val="left"/>
    </w:pPr>
    <w:rPr>
      <w:rFonts w:ascii="等线" w:hAnsi="等线" w:eastAsia="等线" w:cs="宋体"/>
      <w:kern w:val="0"/>
      <w:sz w:val="18"/>
      <w:szCs w:val="18"/>
    </w:rPr>
  </w:style>
  <w:style w:type="paragraph" w:customStyle="1" w:styleId="29">
    <w:name w:val="xl63"/>
    <w:basedOn w:val="1"/>
    <w:qFormat/>
    <w:uiPriority w:val="0"/>
    <w:pPr>
      <w:spacing w:before="100" w:beforeAutospacing="1" w:after="100" w:afterAutospacing="1"/>
      <w:ind w:firstLine="0"/>
      <w:jc w:val="center"/>
    </w:pPr>
    <w:rPr>
      <w:rFonts w:ascii="宋体" w:hAnsi="宋体" w:eastAsia="宋体" w:cs="宋体"/>
      <w:kern w:val="0"/>
      <w:sz w:val="24"/>
      <w:szCs w:val="24"/>
    </w:rPr>
  </w:style>
  <w:style w:type="paragraph" w:customStyle="1" w:styleId="30">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3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32">
    <w:name w:val="xl66"/>
    <w:basedOn w:val="1"/>
    <w:qFormat/>
    <w:uiPriority w:val="0"/>
    <w:pPr>
      <w:spacing w:before="100" w:beforeAutospacing="1" w:after="100" w:afterAutospacing="1"/>
      <w:ind w:firstLine="0"/>
      <w:jc w:val="center"/>
    </w:pPr>
    <w:rPr>
      <w:rFonts w:ascii="宋体" w:hAnsi="宋体" w:eastAsia="宋体" w:cs="宋体"/>
      <w:kern w:val="0"/>
      <w:sz w:val="24"/>
      <w:szCs w:val="24"/>
    </w:rPr>
  </w:style>
  <w:style w:type="paragraph" w:customStyle="1" w:styleId="33">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34">
    <w:name w:val="xl68"/>
    <w:basedOn w:val="1"/>
    <w:qFormat/>
    <w:uiPriority w:val="0"/>
    <w:pPr>
      <w:spacing w:before="100" w:beforeAutospacing="1" w:after="100" w:afterAutospacing="1"/>
      <w:ind w:firstLine="0"/>
      <w:jc w:val="center"/>
    </w:pPr>
    <w:rPr>
      <w:rFonts w:ascii="宋体" w:hAnsi="宋体" w:eastAsia="宋体" w:cs="宋体"/>
      <w:kern w:val="0"/>
      <w:sz w:val="24"/>
      <w:szCs w:val="24"/>
    </w:rPr>
  </w:style>
  <w:style w:type="paragraph" w:customStyle="1" w:styleId="35">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36">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color w:val="FF0000"/>
      <w:kern w:val="0"/>
      <w:sz w:val="24"/>
      <w:szCs w:val="24"/>
    </w:rPr>
  </w:style>
  <w:style w:type="paragraph" w:customStyle="1" w:styleId="37">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b/>
      <w:bCs/>
      <w:i/>
      <w:iCs/>
      <w:kern w:val="0"/>
      <w:sz w:val="24"/>
      <w:szCs w:val="24"/>
    </w:rPr>
  </w:style>
  <w:style w:type="paragraph" w:customStyle="1" w:styleId="38">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color w:val="FF0000"/>
      <w:kern w:val="0"/>
      <w:sz w:val="24"/>
      <w:szCs w:val="24"/>
    </w:rPr>
  </w:style>
  <w:style w:type="paragraph" w:customStyle="1" w:styleId="3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40">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color w:val="FF0000"/>
      <w:kern w:val="0"/>
      <w:sz w:val="16"/>
      <w:szCs w:val="16"/>
    </w:rPr>
  </w:style>
  <w:style w:type="paragraph" w:customStyle="1" w:styleId="41">
    <w:name w:val="xl75"/>
    <w:basedOn w:val="1"/>
    <w:qFormat/>
    <w:uiPriority w:val="0"/>
    <w:pPr>
      <w:pBdr>
        <w:bottom w:val="single" w:color="auto" w:sz="4" w:space="0"/>
      </w:pBdr>
      <w:spacing w:before="100" w:beforeAutospacing="1" w:after="100" w:afterAutospacing="1"/>
      <w:ind w:firstLine="0"/>
      <w:jc w:val="center"/>
    </w:pPr>
    <w:rPr>
      <w:rFonts w:ascii="宋体" w:hAnsi="宋体" w:eastAsia="宋体" w:cs="宋体"/>
      <w:kern w:val="0"/>
      <w:sz w:val="32"/>
      <w:szCs w:val="32"/>
    </w:rPr>
  </w:style>
  <w:style w:type="paragraph" w:customStyle="1" w:styleId="42">
    <w:name w:val="xl76"/>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43">
    <w:name w:val="xl77"/>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44">
    <w:name w:val="xl78"/>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pPr>
    <w:rPr>
      <w:rFonts w:ascii="宋体" w:hAnsi="宋体" w:eastAsia="宋体" w:cs="宋体"/>
      <w:b/>
      <w:bCs/>
      <w:i/>
      <w:iCs/>
      <w:kern w:val="0"/>
      <w:sz w:val="24"/>
      <w:szCs w:val="24"/>
    </w:rPr>
  </w:style>
  <w:style w:type="paragraph" w:customStyle="1" w:styleId="45">
    <w:name w:val="xl79"/>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b/>
      <w:bCs/>
      <w:i/>
      <w:iCs/>
      <w:kern w:val="0"/>
      <w:sz w:val="24"/>
      <w:szCs w:val="24"/>
    </w:rPr>
  </w:style>
  <w:style w:type="paragraph" w:customStyle="1" w:styleId="46">
    <w:name w:val="xl80"/>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47">
    <w:name w:val="xl81"/>
    <w:basedOn w:val="1"/>
    <w:qFormat/>
    <w:uiPriority w:val="0"/>
    <w:pPr>
      <w:pBdr>
        <w:left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48">
    <w:name w:val="xl82"/>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49">
    <w:name w:val="xl83"/>
    <w:basedOn w:val="1"/>
    <w:qFormat/>
    <w:uiPriority w:val="0"/>
    <w:pPr>
      <w:pBdr>
        <w:top w:val="single" w:color="auto" w:sz="4" w:space="0"/>
        <w:left w:val="single" w:color="auto" w:sz="4" w:space="0"/>
      </w:pBdr>
      <w:spacing w:before="100" w:beforeAutospacing="1" w:after="100" w:afterAutospacing="1"/>
      <w:ind w:firstLine="0"/>
      <w:jc w:val="center"/>
    </w:pPr>
    <w:rPr>
      <w:rFonts w:ascii="宋体" w:hAnsi="宋体" w:eastAsia="宋体" w:cs="宋体"/>
      <w:b/>
      <w:bCs/>
      <w:i/>
      <w:iCs/>
      <w:kern w:val="0"/>
      <w:sz w:val="24"/>
      <w:szCs w:val="24"/>
    </w:rPr>
  </w:style>
  <w:style w:type="paragraph" w:customStyle="1" w:styleId="50">
    <w:name w:val="xl84"/>
    <w:basedOn w:val="1"/>
    <w:qFormat/>
    <w:uiPriority w:val="0"/>
    <w:pPr>
      <w:pBdr>
        <w:top w:val="single" w:color="auto" w:sz="4" w:space="0"/>
        <w:right w:val="single" w:color="auto" w:sz="4" w:space="0"/>
      </w:pBdr>
      <w:spacing w:before="100" w:beforeAutospacing="1" w:after="100" w:afterAutospacing="1"/>
      <w:ind w:firstLine="0"/>
      <w:jc w:val="center"/>
    </w:pPr>
    <w:rPr>
      <w:rFonts w:ascii="宋体" w:hAnsi="宋体" w:eastAsia="宋体" w:cs="宋体"/>
      <w:b/>
      <w:bCs/>
      <w:i/>
      <w:iCs/>
      <w:kern w:val="0"/>
      <w:sz w:val="24"/>
      <w:szCs w:val="24"/>
    </w:rPr>
  </w:style>
  <w:style w:type="paragraph" w:customStyle="1" w:styleId="51">
    <w:name w:val="xl85"/>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2">
    <w:name w:val="xl86"/>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3">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b/>
      <w:bCs/>
      <w:i/>
      <w:iCs/>
      <w:kern w:val="0"/>
      <w:sz w:val="24"/>
      <w:szCs w:val="24"/>
    </w:rPr>
  </w:style>
  <w:style w:type="paragraph" w:customStyle="1" w:styleId="54">
    <w:name w:val="xl88"/>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5">
    <w:name w:val="xl89"/>
    <w:basedOn w:val="1"/>
    <w:qFormat/>
    <w:uiPriority w:val="0"/>
    <w:pPr>
      <w:pBdr>
        <w:top w:val="single" w:color="auto" w:sz="4" w:space="0"/>
        <w:bottom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6">
    <w:name w:val="xl90"/>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7">
    <w:name w:val="xl91"/>
    <w:basedOn w:val="1"/>
    <w:qFormat/>
    <w:uiPriority w:val="0"/>
    <w:pPr>
      <w:pBdr>
        <w:left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8">
    <w:name w:val="xl92"/>
    <w:basedOn w:val="1"/>
    <w:qFormat/>
    <w:uiPriority w:val="0"/>
    <w:pPr>
      <w:pBdr>
        <w:top w:val="single" w:color="auto" w:sz="4" w:space="0"/>
        <w:left w:val="single" w:color="auto" w:sz="4" w:space="0"/>
      </w:pBdr>
      <w:spacing w:before="100" w:beforeAutospacing="1" w:after="100" w:afterAutospacing="1"/>
      <w:ind w:firstLine="0"/>
      <w:jc w:val="center"/>
    </w:pPr>
    <w:rPr>
      <w:rFonts w:ascii="宋体" w:hAnsi="宋体" w:eastAsia="宋体" w:cs="宋体"/>
      <w:kern w:val="0"/>
      <w:sz w:val="24"/>
      <w:szCs w:val="24"/>
    </w:rPr>
  </w:style>
  <w:style w:type="paragraph" w:customStyle="1" w:styleId="59">
    <w:name w:val="xl93"/>
    <w:basedOn w:val="1"/>
    <w:qFormat/>
    <w:uiPriority w:val="0"/>
    <w:pPr>
      <w:pBdr>
        <w:top w:val="single" w:color="auto" w:sz="4" w:space="0"/>
        <w:right w:val="single" w:color="auto" w:sz="4" w:space="0"/>
      </w:pBdr>
      <w:spacing w:before="100" w:beforeAutospacing="1" w:after="100" w:afterAutospacing="1"/>
      <w:ind w:firstLine="0"/>
      <w:jc w:val="center"/>
    </w:pPr>
    <w:rPr>
      <w:rFonts w:ascii="宋体" w:hAnsi="宋体" w:eastAsia="宋体" w:cs="宋体"/>
      <w:kern w:val="0"/>
      <w:sz w:val="24"/>
      <w:szCs w:val="24"/>
    </w:rPr>
  </w:style>
  <w:style w:type="character" w:customStyle="1" w:styleId="60">
    <w:name w:val="页眉 字符"/>
    <w:basedOn w:val="18"/>
    <w:link w:val="10"/>
    <w:semiHidden/>
    <w:qFormat/>
    <w:uiPriority w:val="99"/>
    <w:rPr>
      <w:sz w:val="18"/>
      <w:szCs w:val="18"/>
    </w:rPr>
  </w:style>
  <w:style w:type="character" w:customStyle="1" w:styleId="61">
    <w:name w:val="页脚 字符"/>
    <w:basedOn w:val="18"/>
    <w:link w:val="9"/>
    <w:semiHidden/>
    <w:qFormat/>
    <w:uiPriority w:val="99"/>
    <w:rPr>
      <w:sz w:val="18"/>
      <w:szCs w:val="18"/>
    </w:rPr>
  </w:style>
  <w:style w:type="character" w:customStyle="1" w:styleId="62">
    <w:name w:val="批注框文本 字符"/>
    <w:basedOn w:val="18"/>
    <w:link w:val="8"/>
    <w:semiHidden/>
    <w:qFormat/>
    <w:uiPriority w:val="99"/>
    <w:rPr>
      <w:sz w:val="18"/>
      <w:szCs w:val="18"/>
    </w:rPr>
  </w:style>
  <w:style w:type="character" w:customStyle="1" w:styleId="63">
    <w:name w:val="正文文本缩进 字符"/>
    <w:basedOn w:val="18"/>
    <w:link w:val="6"/>
    <w:qFormat/>
    <w:uiPriority w:val="0"/>
    <w:rPr>
      <w:rFonts w:ascii="Times New Roman" w:hAnsi="Times New Roman" w:eastAsia="仿宋_GB2312" w:cs="Times New Roman"/>
      <w:sz w:val="32"/>
      <w:szCs w:val="24"/>
    </w:rPr>
  </w:style>
  <w:style w:type="character" w:customStyle="1" w:styleId="64">
    <w:name w:val="1 Char Char"/>
    <w:link w:val="65"/>
    <w:qFormat/>
    <w:uiPriority w:val="0"/>
    <w:rPr>
      <w:rFonts w:ascii="宋体" w:hAnsi="宋体" w:eastAsia="宋体"/>
      <w:b/>
    </w:rPr>
  </w:style>
  <w:style w:type="paragraph" w:customStyle="1" w:styleId="65">
    <w:name w:val="1"/>
    <w:basedOn w:val="1"/>
    <w:link w:val="64"/>
    <w:qFormat/>
    <w:uiPriority w:val="0"/>
    <w:pPr>
      <w:widowControl w:val="0"/>
      <w:spacing w:beforeLines="30" w:afterLines="30" w:line="420" w:lineRule="exact"/>
      <w:ind w:firstLine="408" w:firstLineChars="145"/>
      <w:jc w:val="left"/>
    </w:pPr>
    <w:rPr>
      <w:rFonts w:ascii="宋体" w:hAnsi="宋体" w:eastAsia="宋体"/>
      <w:b/>
    </w:rPr>
  </w:style>
  <w:style w:type="character" w:customStyle="1" w:styleId="66">
    <w:name w:val="正文文本缩进 3 字符"/>
    <w:basedOn w:val="18"/>
    <w:link w:val="13"/>
    <w:qFormat/>
    <w:uiPriority w:val="99"/>
    <w:rPr>
      <w:rFonts w:ascii="Times New Roman" w:hAnsi="Times New Roman" w:eastAsia="宋体" w:cs="Times New Roman"/>
      <w:sz w:val="16"/>
      <w:szCs w:val="16"/>
    </w:rPr>
  </w:style>
  <w:style w:type="character" w:customStyle="1" w:styleId="67">
    <w:name w:val="正文文本缩进 2 字符"/>
    <w:basedOn w:val="18"/>
    <w:link w:val="7"/>
    <w:qFormat/>
    <w:uiPriority w:val="0"/>
    <w:rPr>
      <w:rFonts w:ascii="Times New Roman" w:hAnsi="Times New Roman" w:eastAsia="宋体"/>
      <w:sz w:val="21"/>
      <w:szCs w:val="24"/>
    </w:rPr>
  </w:style>
  <w:style w:type="character" w:customStyle="1" w:styleId="68">
    <w:name w:val="正文文本 字符"/>
    <w:basedOn w:val="18"/>
    <w:link w:val="3"/>
    <w:qFormat/>
    <w:uiPriority w:val="0"/>
    <w:rPr>
      <w:rFonts w:hint="eastAsia" w:ascii="等线 Light" w:hAnsi="等线 Light" w:eastAsia="等线 Light" w:cs="Times New Roman"/>
      <w:kern w:val="2"/>
      <w:sz w:val="28"/>
      <w:szCs w:val="28"/>
    </w:rPr>
  </w:style>
  <w:style w:type="character" w:customStyle="1" w:styleId="69">
    <w:name w:val="正文文本首行缩进 字符"/>
    <w:basedOn w:val="68"/>
    <w:qFormat/>
    <w:uiPriority w:val="0"/>
    <w:rPr>
      <w:rFonts w:hint="eastAsia" w:ascii="等线 Light" w:hAnsi="等线 Light" w:eastAsia="等线 Light" w:cs="Times New Roman"/>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2396</Words>
  <Characters>13662</Characters>
  <Lines>113</Lines>
  <Paragraphs>32</Paragraphs>
  <TotalTime>4</TotalTime>
  <ScaleCrop>false</ScaleCrop>
  <LinksUpToDate>false</LinksUpToDate>
  <CharactersWithSpaces>16026</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2018-05-12T19:33:00Z</dcterms:created>
  <dc:creator>Z QD</dc:creator>
  <cp:lastModifiedBy>ffy</cp:lastModifiedBy>
  <dcterms:modified xsi:type="dcterms:W3CDTF">2020-07-13T05:18:38Z</dcterms:modified>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